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E2" w:rsidRDefault="009657E2" w:rsidP="00965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9657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ЗОВНІШНЯ ТОРГІВЛЯ ТОВАРАМИ ХЕРСОНСЬКОЇ ОБЛАСТІ У 2019 РОЦІ</w:t>
      </w:r>
    </w:p>
    <w:p w:rsidR="009657E2" w:rsidRPr="009657E2" w:rsidRDefault="009657E2" w:rsidP="009657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657E2" w:rsidRPr="009657E2" w:rsidRDefault="009657E2" w:rsidP="0096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 2019р. експорт товарів становив 268,1 </w:t>
      </w:r>
      <w:proofErr w:type="spellStart"/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дол. США, імпорт –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               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406,2 </w:t>
      </w:r>
      <w:proofErr w:type="spellStart"/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дол. США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Порівняно з 2018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оком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експорт зменшився на 0,7% (на 1,8 </w:t>
      </w:r>
      <w:proofErr w:type="spellStart"/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дол.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США), імпорт збільшився на 23,6% (на 77,7 </w:t>
      </w:r>
      <w:proofErr w:type="spellStart"/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дол. США). Від’ємне сальдо становило 138,0 </w:t>
      </w:r>
      <w:proofErr w:type="spellStart"/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дол. (у 2018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оці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58,5 </w:t>
      </w:r>
      <w:proofErr w:type="spellStart"/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млн</w:t>
      </w:r>
      <w:proofErr w:type="spellEnd"/>
      <w:r w:rsidR="002A33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дол.</w:t>
      </w:r>
      <w:r w:rsidR="002A33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A3372"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США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).</w:t>
      </w:r>
    </w:p>
    <w:p w:rsidR="009657E2" w:rsidRPr="009657E2" w:rsidRDefault="009657E2" w:rsidP="0096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7E2">
        <w:rPr>
          <w:rFonts w:ascii="Times New Roman" w:eastAsia="Times New Roman" w:hAnsi="Times New Roman"/>
          <w:sz w:val="28"/>
          <w:szCs w:val="28"/>
          <w:lang w:eastAsia="ru-RU"/>
        </w:rPr>
        <w:t>Коефіцієнт покриття експортом імпорту склав 0,7 (у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57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 </w:t>
      </w:r>
      <w:r w:rsidRPr="009657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0,8).</w:t>
      </w:r>
    </w:p>
    <w:p w:rsidR="009657E2" w:rsidRDefault="009657E2" w:rsidP="0096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7E2">
        <w:rPr>
          <w:rFonts w:ascii="Times New Roman" w:hAnsi="Times New Roman"/>
          <w:sz w:val="28"/>
          <w:szCs w:val="28"/>
        </w:rPr>
        <w:t>Зовнішньоторговельні операції проводились із партнерами із 120 країн світу.</w:t>
      </w:r>
    </w:p>
    <w:p w:rsidR="008B41C5" w:rsidRPr="009657E2" w:rsidRDefault="008B41C5" w:rsidP="0096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</w:tblGrid>
      <w:tr w:rsidR="008B41C5" w:rsidRPr="0075690A" w:rsidTr="003376A9">
        <w:trPr>
          <w:trHeight w:val="4879"/>
        </w:trPr>
        <w:tc>
          <w:tcPr>
            <w:tcW w:w="2500" w:type="pct"/>
          </w:tcPr>
          <w:p w:rsidR="008B41C5" w:rsidRPr="008B41C5" w:rsidRDefault="008B41C5" w:rsidP="00337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1C5">
              <w:rPr>
                <w:rFonts w:ascii="Times New Roman" w:hAnsi="Times New Roman"/>
                <w:b/>
              </w:rPr>
              <w:t>Темпи зростання (зниження) експорту товарів</w:t>
            </w:r>
          </w:p>
          <w:p w:rsidR="008B41C5" w:rsidRPr="008B41C5" w:rsidRDefault="008B41C5" w:rsidP="00337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C5">
              <w:rPr>
                <w:rFonts w:ascii="Times New Roman" w:hAnsi="Times New Roman"/>
                <w:sz w:val="20"/>
                <w:szCs w:val="20"/>
              </w:rPr>
              <w:t>(у % до відповідного періоду попереднього року, наростаючим підсумком)</w:t>
            </w:r>
          </w:p>
          <w:p w:rsidR="008B41C5" w:rsidRPr="008B41C5" w:rsidRDefault="008B41C5" w:rsidP="003376A9">
            <w:pPr>
              <w:tabs>
                <w:tab w:val="left" w:pos="1020"/>
              </w:tabs>
              <w:ind w:left="-109" w:right="-93"/>
              <w:jc w:val="center"/>
              <w:rPr>
                <w:rFonts w:ascii="Times New Roman" w:hAnsi="Times New Roman"/>
              </w:rPr>
            </w:pPr>
          </w:p>
          <w:p w:rsidR="008B41C5" w:rsidRPr="008B41C5" w:rsidRDefault="008B41C5" w:rsidP="003376A9">
            <w:pPr>
              <w:spacing w:line="238" w:lineRule="auto"/>
              <w:ind w:left="-96" w:right="-57" w:hanging="12"/>
              <w:jc w:val="both"/>
              <w:rPr>
                <w:rFonts w:ascii="Times New Roman" w:hAnsi="Times New Roman"/>
                <w:kern w:val="24"/>
                <w:sz w:val="2"/>
                <w:szCs w:val="2"/>
              </w:rPr>
            </w:pPr>
            <w:r w:rsidRPr="008B41C5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6822DC5" wp14:editId="4B22A06E">
                  <wp:extent cx="3762375" cy="285750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B41C5" w:rsidRPr="008B41C5" w:rsidRDefault="008B41C5" w:rsidP="003376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1C5">
              <w:rPr>
                <w:rFonts w:ascii="Times New Roman" w:hAnsi="Times New Roman"/>
                <w:b/>
              </w:rPr>
              <w:t>Темпи зростання (зниження) імпорту товарів</w:t>
            </w:r>
            <w:r w:rsidRPr="008B41C5">
              <w:rPr>
                <w:rFonts w:ascii="Times New Roman" w:hAnsi="Times New Roman"/>
                <w:b/>
                <w:color w:val="FF0000"/>
                <w:vertAlign w:val="superscript"/>
              </w:rPr>
              <w:t xml:space="preserve"> </w:t>
            </w:r>
            <w:r w:rsidRPr="008B41C5">
              <w:rPr>
                <w:rFonts w:ascii="Times New Roman" w:hAnsi="Times New Roman"/>
                <w:b/>
                <w:vertAlign w:val="superscript"/>
              </w:rPr>
              <w:t xml:space="preserve">                          </w:t>
            </w:r>
            <w:r w:rsidRPr="008B41C5">
              <w:rPr>
                <w:rFonts w:ascii="Times New Roman" w:hAnsi="Times New Roman"/>
                <w:sz w:val="20"/>
                <w:szCs w:val="20"/>
              </w:rPr>
              <w:t xml:space="preserve">(у % до відповідного періоду попереднього року, </w:t>
            </w:r>
            <w:r w:rsidRPr="008B41C5">
              <w:rPr>
                <w:rFonts w:ascii="Times New Roman" w:hAnsi="Times New Roman"/>
                <w:sz w:val="20"/>
                <w:szCs w:val="20"/>
              </w:rPr>
              <w:br/>
              <w:t>наростаючим підсумком)</w:t>
            </w:r>
          </w:p>
          <w:p w:rsidR="008B41C5" w:rsidRPr="008B41C5" w:rsidRDefault="008B41C5" w:rsidP="00337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1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B41C5" w:rsidRPr="008B41C5" w:rsidRDefault="008B41C5" w:rsidP="003376A9">
            <w:pPr>
              <w:spacing w:line="264" w:lineRule="auto"/>
              <w:ind w:left="-108" w:right="-113"/>
              <w:jc w:val="center"/>
              <w:rPr>
                <w:rFonts w:ascii="Times New Roman" w:hAnsi="Times New Roman"/>
                <w:sz w:val="6"/>
                <w:szCs w:val="6"/>
              </w:rPr>
            </w:pPr>
            <w:r w:rsidRPr="008B41C5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A7168D7" wp14:editId="3BCFC185">
                  <wp:extent cx="3571875" cy="264795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9657E2" w:rsidRPr="009657E2" w:rsidRDefault="009657E2" w:rsidP="0096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C23" w:rsidRDefault="00C90C23" w:rsidP="00C90C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B934EC">
        <w:rPr>
          <w:rFonts w:ascii="Times New Roman" w:hAnsi="Times New Roman"/>
          <w:color w:val="000000"/>
          <w:sz w:val="28"/>
          <w:szCs w:val="28"/>
          <w:lang w:val="uk-UA"/>
        </w:rPr>
        <w:t>еред країн-партнерів найбільше товарів експортовано до Греції – 12,0% від загального обсягу, Італії  – 9,4%, Туреччини – 9,1%, Нідерландів – 8,4% та Німеччини – 7,6%.</w:t>
      </w:r>
    </w:p>
    <w:p w:rsidR="00140594" w:rsidRDefault="00140594" w:rsidP="001405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401">
        <w:rPr>
          <w:rFonts w:ascii="Times New Roman" w:hAnsi="Times New Roman"/>
          <w:color w:val="000000"/>
          <w:sz w:val="28"/>
          <w:szCs w:val="28"/>
        </w:rPr>
        <w:t xml:space="preserve">Основу товарної структури експорту складали продукти рослинного походження – </w:t>
      </w:r>
      <w:r>
        <w:rPr>
          <w:rFonts w:ascii="Times New Roman" w:hAnsi="Times New Roman"/>
          <w:color w:val="000000"/>
          <w:sz w:val="28"/>
          <w:szCs w:val="28"/>
        </w:rPr>
        <w:t>42</w:t>
      </w:r>
      <w:r w:rsidRPr="000914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91401">
        <w:rPr>
          <w:rFonts w:ascii="Times New Roman" w:hAnsi="Times New Roman"/>
          <w:color w:val="000000"/>
          <w:sz w:val="28"/>
          <w:szCs w:val="28"/>
        </w:rPr>
        <w:t>%, готові харчові продукти –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914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91401">
        <w:rPr>
          <w:rFonts w:ascii="Times New Roman" w:hAnsi="Times New Roman"/>
          <w:color w:val="000000"/>
          <w:sz w:val="28"/>
          <w:szCs w:val="28"/>
        </w:rPr>
        <w:t xml:space="preserve">%, механічне та електричне обладнання –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914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91401">
        <w:rPr>
          <w:rFonts w:ascii="Times New Roman" w:hAnsi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/>
          <w:color w:val="000000"/>
          <w:sz w:val="28"/>
          <w:szCs w:val="28"/>
        </w:rPr>
        <w:t xml:space="preserve">деревина і вироби з деревини –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091401">
        <w:rPr>
          <w:rFonts w:ascii="Times New Roman" w:hAnsi="Times New Roman"/>
          <w:color w:val="000000"/>
          <w:sz w:val="28"/>
          <w:szCs w:val="28"/>
        </w:rPr>
        <w:t>.</w:t>
      </w:r>
    </w:p>
    <w:p w:rsidR="002A3372" w:rsidRDefault="002A3372" w:rsidP="001405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Основні країни імпортери: Іспанія – 17,4%, Китай – 15,0%, Туреччина 12,8%, Данія – 11,8%.</w:t>
      </w:r>
    </w:p>
    <w:p w:rsidR="00140594" w:rsidRPr="00B934EC" w:rsidRDefault="002A3372" w:rsidP="00C90C2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Ввозилися до області переважно механічне та електричне обладнання – 63,2%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, полімерні матеріали, пластмаси та вироби з них – 6,1%, продукція хімічної та пов’язаних з нею галузей промисловості – 5,7%.</w:t>
      </w:r>
    </w:p>
    <w:p w:rsidR="0064778C" w:rsidRDefault="002A3372"/>
    <w:sectPr w:rsidR="0064778C" w:rsidSect="009657E2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CC"/>
    <w:rsid w:val="00140594"/>
    <w:rsid w:val="002A3372"/>
    <w:rsid w:val="008B41C5"/>
    <w:rsid w:val="009657E2"/>
    <w:rsid w:val="0098316F"/>
    <w:rsid w:val="00A903CC"/>
    <w:rsid w:val="00C14FCF"/>
    <w:rsid w:val="00C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2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965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B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C5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90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2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965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B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C5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90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"/>
          <c:y val="0.17241379310344829"/>
          <c:w val="0.6640625"/>
          <c:h val="0.6"/>
        </c:manualLayout>
      </c:layout>
      <c:lineChart>
        <c:grouping val="standar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897976261669844E-2"/>
                  <c:y val="-3.82364618215826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150.2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66042476494251E-2"/>
                  <c:y val="-4.08228436962621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55327211867505E-2"/>
                  <c:y val="2.9694572661176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114.2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00592004717762E-2"/>
                  <c:y val="3.1616942709747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107.1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854401309013573E-2"/>
                  <c:y val="2.00823724620629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109.7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5348715904182841E-2"/>
                  <c:y val="4.2858322020092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106.3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5822197166018809E-2"/>
                  <c:y val="3.21773312818655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96.6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254011761188077E-2"/>
                  <c:y val="-5.84003861586267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90.5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519159689690723E-2"/>
                  <c:y val="-4.85123238905481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88.6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200974284859998E-2"/>
                  <c:y val="2.88583220200923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91.1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9486955546695903E-2"/>
                  <c:y val="-5.72019790629619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14603475198545E-2"/>
                  <c:y val="3.23152623163484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93.4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150.19999999999999</c:v>
                </c:pt>
                <c:pt idx="1">
                  <c:v>140.19999999999999</c:v>
                </c:pt>
                <c:pt idx="2" formatCode="General">
                  <c:v>114.2</c:v>
                </c:pt>
                <c:pt idx="3" formatCode="General">
                  <c:v>107.1</c:v>
                </c:pt>
                <c:pt idx="4" formatCode="General">
                  <c:v>109.7</c:v>
                </c:pt>
                <c:pt idx="5" formatCode="General">
                  <c:v>106.3</c:v>
                </c:pt>
                <c:pt idx="6" formatCode="General">
                  <c:v>96.6</c:v>
                </c:pt>
                <c:pt idx="7" formatCode="General">
                  <c:v>90.5</c:v>
                </c:pt>
                <c:pt idx="8" formatCode="General">
                  <c:v>88.6</c:v>
                </c:pt>
                <c:pt idx="9" formatCode="General">
                  <c:v>91.1</c:v>
                </c:pt>
                <c:pt idx="10" formatCode="General">
                  <c:v>90.2</c:v>
                </c:pt>
                <c:pt idx="11" formatCode="General">
                  <c:v>93.4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3502142928336501E-2"/>
                  <c:y val="4.599788819501013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138.9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663124190172439E-2"/>
                  <c:y val="3.33237517724077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122.5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532438785341708E-2"/>
                  <c:y val="-7.9882969801188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776753380510976E-2"/>
                  <c:y val="-6.3090041331040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812734642346881E-2"/>
                  <c:y val="-6.3986593055178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932049237516156E-2"/>
                  <c:y val="-6.3124349111533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988863832685431E-2"/>
                  <c:y val="-6.1314266751138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5462345094521447E-2"/>
                  <c:y val="3.38928047787130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4164993023024086E-2"/>
                  <c:y val="-5.6934781428183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409307618193375E-2"/>
                  <c:y val="-6.41331885238482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121.0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070288880029266E-2"/>
                  <c:y val="-6.7745038766705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3502103475198538E-2"/>
                  <c:y val="-5.7917627537937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138.9</c:v>
                </c:pt>
                <c:pt idx="1">
                  <c:v>122.5</c:v>
                </c:pt>
                <c:pt idx="2">
                  <c:v>118.9</c:v>
                </c:pt>
                <c:pt idx="3">
                  <c:v>119.3</c:v>
                </c:pt>
                <c:pt idx="4">
                  <c:v>120.1</c:v>
                </c:pt>
                <c:pt idx="5">
                  <c:v>110.1</c:v>
                </c:pt>
                <c:pt idx="6">
                  <c:v>113.1</c:v>
                </c:pt>
                <c:pt idx="7">
                  <c:v>114.3</c:v>
                </c:pt>
                <c:pt idx="8">
                  <c:v>121.5</c:v>
                </c:pt>
                <c:pt idx="9">
                  <c:v>121</c:v>
                </c:pt>
                <c:pt idx="10">
                  <c:v>117.3</c:v>
                </c:pt>
                <c:pt idx="11">
                  <c:v>99.3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693440"/>
        <c:axId val="243694976"/>
      </c:lineChart>
      <c:catAx>
        <c:axId val="24369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694976"/>
        <c:crossesAt val="0"/>
        <c:auto val="1"/>
        <c:lblAlgn val="ctr"/>
        <c:lblOffset val="0"/>
        <c:tickLblSkip val="1"/>
        <c:tickMarkSkip val="1"/>
        <c:noMultiLvlLbl val="0"/>
      </c:catAx>
      <c:valAx>
        <c:axId val="243694976"/>
        <c:scaling>
          <c:orientation val="minMax"/>
          <c:max val="160"/>
          <c:min val="80"/>
        </c:scaling>
        <c:delete val="0"/>
        <c:axPos val="l"/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693440"/>
        <c:crosses val="autoZero"/>
        <c:crossBetween val="midCat"/>
        <c:majorUnit val="10"/>
        <c:minorUnit val="1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0989583333333331"/>
          <c:y val="0.93448275862068964"/>
          <c:w val="0.2890625"/>
          <c:h val="6.89655172413793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86813186813187"/>
          <c:y val="8.5820895522388058E-2"/>
          <c:w val="0.68131868131868134"/>
          <c:h val="0.67537313432835822"/>
        </c:manualLayout>
      </c:layout>
      <c:lineChart>
        <c:grouping val="standar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ln w="12681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330758655168277E-3"/>
                  <c:y val="1.46446518892536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127.8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46448809283478E-2"/>
                  <c:y val="9.65244868390162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134.5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16877697979743E-3"/>
                  <c:y val="-1.54432505235675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140.9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706589753203956E-2"/>
                  <c:y val="-4.00889677258076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182.2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216076067414653E-2"/>
                  <c:y val="-7.24690037604421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169.3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714573370636359E-2"/>
                  <c:y val="-4.50891185042329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162.6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122040514166835E-3"/>
                  <c:y val="-2.53980649068711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157.4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63464490015664"/>
                  <c:y val="1.31864836019303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139.1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473801544037788E-2"/>
                  <c:y val="2.90980209133903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116.1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2584703835097685E-3"/>
                  <c:y val="-7.151857547925886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145,5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3932334612019635E-2"/>
                  <c:y val="-7.15921271679330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160.2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222040706450167E-2"/>
                  <c:y val="-3.90735891719108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162.3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127.8</c:v>
                </c:pt>
                <c:pt idx="1">
                  <c:v>134.5</c:v>
                </c:pt>
                <c:pt idx="2">
                  <c:v>140.9</c:v>
                </c:pt>
                <c:pt idx="3">
                  <c:v>182.2</c:v>
                </c:pt>
                <c:pt idx="4">
                  <c:v>169.3</c:v>
                </c:pt>
                <c:pt idx="5">
                  <c:v>162.6</c:v>
                </c:pt>
                <c:pt idx="6">
                  <c:v>157.4</c:v>
                </c:pt>
                <c:pt idx="7">
                  <c:v>139.1</c:v>
                </c:pt>
                <c:pt idx="8">
                  <c:v>116.1</c:v>
                </c:pt>
                <c:pt idx="9">
                  <c:v>145.5</c:v>
                </c:pt>
                <c:pt idx="10">
                  <c:v>160.19999999999999</c:v>
                </c:pt>
                <c:pt idx="11">
                  <c:v>162.30000000000001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ln w="12681">
              <a:solidFill>
                <a:srgbClr val="000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7.7559351234941778E-3"/>
                  <c:y val="-3.538477949571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208.7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720584157749511E-2"/>
                  <c:y val="-4.22425993862331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145.4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828177247075115E-3"/>
                  <c:y val="-3.4678572807519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388241392902813"/>
                  <c:y val="-2.8897513790589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435856287194859E-2"/>
                  <c:y val="-5.9713157432685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310568871198606E-3"/>
                  <c:y val="8.18939630291301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206073471585257E-2"/>
                  <c:y val="2.9098020913390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935340005576236E-2"/>
                  <c:y val="-6.6706903369066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712554392239422E-2"/>
                  <c:y val="4.4732554302074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147478795919744E-2"/>
                  <c:y val="2.7965407201797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208.7</c:v>
                </c:pt>
                <c:pt idx="1">
                  <c:v>145.4</c:v>
                </c:pt>
                <c:pt idx="2">
                  <c:v>105.2</c:v>
                </c:pt>
                <c:pt idx="3">
                  <c:v>80.099999999999994</c:v>
                </c:pt>
                <c:pt idx="4">
                  <c:v>79.900000000000006</c:v>
                </c:pt>
                <c:pt idx="5">
                  <c:v>81.599999999999994</c:v>
                </c:pt>
                <c:pt idx="6">
                  <c:v>86.3</c:v>
                </c:pt>
                <c:pt idx="7">
                  <c:v>116.1</c:v>
                </c:pt>
                <c:pt idx="8">
                  <c:v>129.5</c:v>
                </c:pt>
                <c:pt idx="9">
                  <c:v>123.9</c:v>
                </c:pt>
                <c:pt idx="10">
                  <c:v>114.7</c:v>
                </c:pt>
                <c:pt idx="11">
                  <c:v>123.6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556544"/>
        <c:axId val="266558080"/>
      </c:lineChart>
      <c:catAx>
        <c:axId val="26655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6558080"/>
        <c:crossesAt val="0"/>
        <c:auto val="1"/>
        <c:lblAlgn val="ctr"/>
        <c:lblOffset val="0"/>
        <c:tickLblSkip val="1"/>
        <c:tickMarkSkip val="1"/>
        <c:noMultiLvlLbl val="0"/>
      </c:catAx>
      <c:valAx>
        <c:axId val="266558080"/>
        <c:scaling>
          <c:orientation val="minMax"/>
          <c:max val="210"/>
          <c:min val="70"/>
        </c:scaling>
        <c:delete val="0"/>
        <c:axPos val="l"/>
        <c:numFmt formatCode="0" sourceLinked="0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6556544"/>
        <c:crosses val="autoZero"/>
        <c:crossBetween val="midCat"/>
        <c:majorUnit val="10"/>
        <c:minorUnit val="10"/>
      </c:valAx>
      <c:spPr>
        <a:solidFill>
          <a:srgbClr val="FFFFFF"/>
        </a:solidFill>
        <a:ln w="1268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9395604395604397"/>
          <c:y val="0.92164179104477617"/>
          <c:w val="0.32142857142857145"/>
          <c:h val="8.2089552238805971E-2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0.50375</cdr:x>
      <cdr:y>0.5015</cdr:y>
    </cdr:from>
    <cdr:to>
      <cdr:x>0.51675</cdr:x>
      <cdr:y>0.56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2516" y="1385268"/>
          <a:ext cx="47549" cy="1615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2020-05-05T09:42:00Z</dcterms:created>
  <dcterms:modified xsi:type="dcterms:W3CDTF">2020-05-05T09:58:00Z</dcterms:modified>
</cp:coreProperties>
</file>