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Pr="00D93646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93646">
        <w:rPr>
          <w:noProof/>
          <w:lang w:val="en-US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A" w:rsidRDefault="00281F9A" w:rsidP="00F511D5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Законодавство передбачає, що товариство набуває прав юридичної особи з дня його державної реєстрації,  фізична особа здійснює своє право на підприємницьку діяльність за умови її державної реєстрації в порядку, встановленому законом.</w:t>
      </w:r>
    </w:p>
    <w:p w:rsid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Так, державна реєстрація </w:t>
      </w:r>
      <w:r w:rsidR="00FA410D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підприємств 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проводиться у порядку визначеному Законом України «Про державну реєстрацію юридичних осіб, фізичних осіб – підприємців та громадських формувань»</w:t>
      </w:r>
      <w:r w:rsidR="004E394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7077E8" w:rsidRDefault="007077E8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123AFB" w:rsidRPr="00123AFB" w:rsidRDefault="00123AFB" w:rsidP="00123AF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Суб’єкти державної реєстрації</w:t>
      </w:r>
    </w:p>
    <w:p w:rsid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Суб’єктами державної реєстрації є:</w:t>
      </w:r>
      <w:bookmarkStart w:id="0" w:name="n45"/>
      <w:bookmarkEnd w:id="0"/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Міністерство юстиції України, територіальні органи Міністерства юстиції України в Автономній Республіці Крим, областях, містах Києві та Севастополі, виконавчі органи сільських, селищних та міських рад, Київська та Севастопольська міські, районні, районні у містах Києві та Севастополі державні адміністрації, нотаріуси, акредитовані суб’єкти.</w:t>
      </w:r>
    </w:p>
    <w:p w:rsidR="007077E8" w:rsidRDefault="007077E8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123AFB" w:rsidRPr="00123AFB" w:rsidRDefault="00123AFB" w:rsidP="00123AFB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Шляхи запобігання рейдерському захопленню</w:t>
      </w:r>
    </w:p>
    <w:p w:rsidR="00123AFB" w:rsidRPr="00123AFB" w:rsidRDefault="00FA410D" w:rsidP="00FA410D">
      <w:pPr>
        <w:spacing w:after="0" w:line="240" w:lineRule="auto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- </w:t>
      </w:r>
      <w:r w:rsidR="00123AFB"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Перевірка актуальності корпоративних прав</w:t>
      </w:r>
      <w:r w:rsidR="004E394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123AFB" w:rsidRPr="00123AFB" w:rsidRDefault="00FA410D" w:rsidP="00FA410D">
      <w:pPr>
        <w:spacing w:after="0" w:line="240" w:lineRule="auto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-</w:t>
      </w:r>
      <w:r w:rsidR="00123AFB"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Проведення комплексного аудиту підприємства</w:t>
      </w:r>
      <w:r w:rsidR="004E394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A410D" w:rsidRDefault="00FA410D" w:rsidP="00FA410D">
      <w:pPr>
        <w:pStyle w:val="a9"/>
        <w:spacing w:after="0" w:line="240" w:lineRule="auto"/>
        <w:ind w:left="1117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123AFB" w:rsidRPr="00123AFB" w:rsidRDefault="00123AFB" w:rsidP="00123AFB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Перевірка актуальності корпоративних прав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У раз виникнення підозри у </w:t>
      </w:r>
      <w:r w:rsidR="004E394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вчиненні 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проти Вас неправомірних шахрайських дій, Ви може</w:t>
      </w:r>
      <w:r w:rsidR="007077E8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те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скористатися можливостями Єдиного державного реєстру юридичних осіб, фізичних осіб – підприємців та громадських формувань (далі – Єдиний державний реєстр)</w:t>
      </w: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Єдиний державний реєстр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це 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єдина державна інформаційна система, що забезпечує збирання, накопичення, обробку, захист, облік та надання інформації про юридичних осіб, фізичних осіб - підприємців та громадські формування, що не мають статусу юридичної особи.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Відомості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містяться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Єдиному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державному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надаються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вигляді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виписки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витягу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Приймання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запиту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надання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відомостей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державними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реєстраторами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виконавчих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комітетах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міських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рад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міст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обласного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значення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районних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районних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містах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Києві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Севастополі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державних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адміністраціях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акредитованими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суб’єктами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паперовій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формі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можна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отримати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вигляді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23AFB" w:rsidRPr="00123AFB" w:rsidRDefault="00123AFB" w:rsidP="00123A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виписки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23AFB" w:rsidRPr="00123AFB" w:rsidRDefault="00123AFB" w:rsidP="00123A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витягу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, без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бланків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та без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проставляння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підпису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і печатки.</w:t>
      </w:r>
    </w:p>
    <w:p w:rsidR="00123AFB" w:rsidRPr="00123AFB" w:rsidRDefault="00123AFB" w:rsidP="00123A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В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електронній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формі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надаються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</w:p>
    <w:p w:rsidR="00123AFB" w:rsidRPr="00123AFB" w:rsidRDefault="00123AFB" w:rsidP="00123A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відомості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державного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через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портал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електронних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сервісів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юридичних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осіб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фізичних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осіб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підприємців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та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громадських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формувань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мають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статусу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юридичної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особи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en-US"/>
        </w:rPr>
        <w:t>;</w:t>
      </w:r>
    </w:p>
    <w:p w:rsidR="00123AFB" w:rsidRPr="00123AFB" w:rsidRDefault="00123AFB" w:rsidP="00123A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відомості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форматі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бази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даних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іншому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форматі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режимі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реального часу на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підставі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договорів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укладених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технічним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адміністратором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077E8" w:rsidRDefault="007077E8" w:rsidP="007077E8">
      <w:pPr>
        <w:pStyle w:val="a9"/>
        <w:spacing w:after="0" w:line="240" w:lineRule="auto"/>
        <w:ind w:left="1117"/>
        <w:jc w:val="both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914189" w:rsidRPr="00914189" w:rsidRDefault="00914189" w:rsidP="0091418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Проведення комплексного аудиту підприємства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Комплексний аудит безпеки підприємства та його готовності до протидії рейдерам включає в себе аналіз: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1. Статутних документів компанії щодо обмежень стосовно розпорядження майном і грошовими коштами.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2. Корпоративної структури компанії щодо можливості швидкого усунення від виконання обов’язків керівника та інших відповідальних осіб. </w:t>
      </w:r>
    </w:p>
    <w:p w:rsidR="00914189" w:rsidRPr="00914189" w:rsidRDefault="004E394B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3. </w:t>
      </w:r>
      <w:r w:rsidR="00914189"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Правильності оформлення прав власника на компанію та наявності підстав для виникнення корпоративних конфліктів.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4. Правильності оформлення прав компанії на ключові активи бізнесу та можливих підстав оскарження таких прав.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5. Для агропідприємств – правильності оформлення прав на землю, яка перебуває у обробці підприємства, на предмет виявлення </w:t>
      </w: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 xml:space="preserve">юридичних підстав для здійснення захоплення землі або урожаю третіми особами.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6. Систем фізичної та інформаційної безпеки і охорони компанії.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7. Можливих невідомих власникові </w:t>
      </w:r>
      <w:proofErr w:type="spellStart"/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зв’язків</w:t>
      </w:r>
      <w:proofErr w:type="spellEnd"/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менеджменту бізнесу з третіми зацікавленими особами. </w:t>
      </w:r>
    </w:p>
    <w:p w:rsidR="005E5A8E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8. Організації зберігання оригіналів установчих та інших важливих документів.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9. Трудових відносин на підприємстві. Зокрема, особлива увага приділяється перевірці звільнених працівників, особливо менеджменту, та належному дотриманню встановлених законом процедур їх звільнення з метою недопущення неконтрольованого поновлення таких працівників на посаді за рішенням суду.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10. Порядку дій працівників у разі вторгнення або виникнення загрози вторгнення.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11. Наявних конфліктів з третіми особами, які можуть бути використані рейдерами. </w:t>
      </w:r>
    </w:p>
    <w:p w:rsidR="00914189" w:rsidRPr="00914189" w:rsidRDefault="00E51787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12. </w:t>
      </w:r>
      <w:r w:rsidR="00914189"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Надійності контрагентів та їх можливих </w:t>
      </w:r>
      <w:proofErr w:type="spellStart"/>
      <w:r w:rsidR="00914189"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зв’язків</w:t>
      </w:r>
      <w:proofErr w:type="spellEnd"/>
      <w:r w:rsidR="00914189"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з рейдерськими угрупуваннями. 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13.Історії судових спорів підприємства.</w:t>
      </w:r>
    </w:p>
    <w:p w:rsidR="00914189" w:rsidRP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14.Інформаційних атак на бізнес та/або його власника, про які останній може не знати та які, як правило, передують рейдерському захопленню.</w:t>
      </w:r>
    </w:p>
    <w:p w:rsidR="00914189" w:rsidRDefault="00914189" w:rsidP="0091418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15.Інших точок впливу на бізнес через кримінальні провадження, необґрунтовані судові справи, підозрілу зацікавленість посадових осіб, конкурентів, контрагентів тощо. Проведення аудиту безпеки </w:t>
      </w:r>
      <w:r w:rsidRPr="00914189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підприємства дозволяє сформувати реальну картину поточного стану захищеності підприємства від ймовірних рейдерських атак.</w:t>
      </w:r>
    </w:p>
    <w:p w:rsidR="007077E8" w:rsidRPr="00914189" w:rsidRDefault="007077E8" w:rsidP="00914189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885C86" w:rsidRPr="00444A8F" w:rsidRDefault="00885C86" w:rsidP="00444A8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робити</w:t>
      </w:r>
      <w:proofErr w:type="spellEnd"/>
      <w:r w:rsidR="00D943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якщо рейдерське захоплення вже відбулося</w:t>
      </w:r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D9435C" w:rsidRDefault="00D9435C" w:rsidP="00D943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Звернутися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 в Комісію з питань розгляду скарг у сфері державної реєстрації при Міністерстві юстиції </w:t>
      </w:r>
      <w:r>
        <w:rPr>
          <w:rFonts w:ascii="Times New Roman" w:hAnsi="Times New Roman" w:cs="Times New Roman"/>
          <w:sz w:val="24"/>
          <w:szCs w:val="24"/>
          <w:lang w:val="uk-UA"/>
        </w:rPr>
        <w:t>і повернути майно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 шляхом скасування реєстраційних дій, здійснених рейдерами. </w:t>
      </w:r>
    </w:p>
    <w:p w:rsidR="00D9435C" w:rsidRDefault="00D9435C" w:rsidP="00D943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Негайно оскаржити до суду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>, р</w:t>
      </w:r>
      <w:r>
        <w:rPr>
          <w:rFonts w:ascii="Times New Roman" w:hAnsi="Times New Roman" w:cs="Times New Roman"/>
          <w:sz w:val="24"/>
          <w:szCs w:val="24"/>
          <w:lang w:val="uk-UA"/>
        </w:rPr>
        <w:t>еєстраційних дії або накла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дення заборони щодо вчинення окремих дій: </w:t>
      </w:r>
    </w:p>
    <w:p w:rsidR="00D9435C" w:rsidRDefault="00D9435C" w:rsidP="00D943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5C">
        <w:rPr>
          <w:rFonts w:ascii="Times New Roman" w:hAnsi="Times New Roman" w:cs="Times New Roman"/>
          <w:sz w:val="24"/>
          <w:szCs w:val="24"/>
          <w:lang w:val="uk-UA"/>
        </w:rPr>
        <w:t>– повернення майн</w:t>
      </w:r>
      <w:r>
        <w:rPr>
          <w:rFonts w:ascii="Times New Roman" w:hAnsi="Times New Roman" w:cs="Times New Roman"/>
          <w:sz w:val="24"/>
          <w:szCs w:val="24"/>
          <w:lang w:val="uk-UA"/>
        </w:rPr>
        <w:t>а, припинення подальшого відчу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>ження активів;</w:t>
      </w:r>
    </w:p>
    <w:p w:rsidR="00D9435C" w:rsidRDefault="00D9435C" w:rsidP="00D943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 – накладення арештів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майно та/або заборон прове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дення реєстраційних </w:t>
      </w:r>
      <w:r>
        <w:rPr>
          <w:rFonts w:ascii="Times New Roman" w:hAnsi="Times New Roman" w:cs="Times New Roman"/>
          <w:sz w:val="24"/>
          <w:szCs w:val="24"/>
          <w:lang w:val="uk-UA"/>
        </w:rPr>
        <w:t>чи інших дій в порядку забезпе</w:t>
      </w:r>
      <w:r w:rsidRPr="00D9435C">
        <w:rPr>
          <w:rFonts w:ascii="Times New Roman" w:hAnsi="Times New Roman" w:cs="Times New Roman"/>
          <w:sz w:val="24"/>
          <w:szCs w:val="24"/>
          <w:lang w:val="uk-UA"/>
        </w:rPr>
        <w:t xml:space="preserve">чення позовів. </w:t>
      </w:r>
    </w:p>
    <w:p w:rsidR="00D9435C" w:rsidRDefault="00D9435C" w:rsidP="00D943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D9435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435C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D94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5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435C" w:rsidRDefault="00515A07" w:rsidP="00D943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Блокування банківських рахунків.</w:t>
      </w:r>
    </w:p>
    <w:p w:rsidR="00D9435C" w:rsidRDefault="00515A07" w:rsidP="00FA41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943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394B"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1" w:name="_GoBack"/>
      <w:bookmarkEnd w:id="1"/>
      <w:r w:rsidR="00D9435C">
        <w:rPr>
          <w:rFonts w:ascii="Times New Roman" w:hAnsi="Times New Roman" w:cs="Times New Roman"/>
          <w:sz w:val="24"/>
          <w:szCs w:val="24"/>
          <w:lang w:val="uk-UA"/>
        </w:rPr>
        <w:t>Взаємодія зі ЗМІ та громадськістю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77E8" w:rsidRDefault="007077E8" w:rsidP="00FA41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10D" w:rsidRPr="00123AFB" w:rsidRDefault="00FA410D" w:rsidP="00FA4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r w:rsidRPr="00123AFB">
        <w:rPr>
          <w:rFonts w:ascii="Times New Roman" w:hAnsi="Times New Roman" w:cs="Times New Roman"/>
          <w:b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Звертаємо увагу!</w:t>
      </w:r>
    </w:p>
    <w:p w:rsidR="00FA410D" w:rsidRDefault="00FA410D" w:rsidP="00FA410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З</w:t>
      </w:r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а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одержання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виписки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витягу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Єдиного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державного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>справляється</w:t>
      </w:r>
      <w:proofErr w:type="spellEnd"/>
      <w:r w:rsidRPr="00123AFB">
        <w:rPr>
          <w:rFonts w:ascii="Times New Roman" w:hAnsi="Times New Roman" w:cs="Times New Roman"/>
          <w:color w:val="0C151E"/>
          <w:sz w:val="24"/>
          <w:szCs w:val="24"/>
          <w:bdr w:val="none" w:sz="0" w:space="0" w:color="auto" w:frame="1"/>
          <w:shd w:val="clear" w:color="auto" w:fill="FFFFFF"/>
        </w:rPr>
        <w:t xml:space="preserve"> плата.</w:t>
      </w:r>
    </w:p>
    <w:p w:rsidR="00D9435C" w:rsidRPr="00FA410D" w:rsidRDefault="00D9435C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D9435C" w:rsidRDefault="00D9435C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435C" w:rsidRDefault="00D9435C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435C" w:rsidRDefault="00D9435C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435C" w:rsidRDefault="00D9435C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0FA" w:rsidRDefault="00F770FA" w:rsidP="00D94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10D" w:rsidRDefault="00FA410D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FA410D" w:rsidRDefault="00FA410D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3646">
        <w:rPr>
          <w:noProof/>
          <w:lang w:val="en-US" w:eastAsia="en-US"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5" cy="8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Pr="00D93646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D93646" w:rsidRDefault="00F36EDC" w:rsidP="007A25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E92D78" w:rsidRPr="00D93646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Pr="00D93646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</w:tblGrid>
      <w:tr w:rsidR="009F51DC" w:rsidRPr="00D93646" w:rsidTr="00D93646">
        <w:trPr>
          <w:trHeight w:val="2132"/>
        </w:trPr>
        <w:tc>
          <w:tcPr>
            <w:tcW w:w="2552" w:type="dxa"/>
          </w:tcPr>
          <w:p w:rsidR="009F51DC" w:rsidRPr="00D93646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93646">
              <w:rPr>
                <w:noProof/>
                <w:lang w:val="en-US" w:eastAsia="en-US"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9F51DC" w:rsidRPr="00D93646" w:rsidRDefault="009F51DC" w:rsidP="009F51DC">
            <w:pPr>
              <w:rPr>
                <w:rFonts w:cstheme="minorHAnsi"/>
                <w:b/>
                <w:sz w:val="44"/>
                <w:szCs w:val="44"/>
                <w:lang w:val="uk-UA"/>
              </w:rPr>
            </w:pP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t>Знаю!</w:t>
            </w: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br/>
              <w:t>Дію!</w:t>
            </w: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br/>
              <w:t>Захищаю!</w:t>
            </w:r>
          </w:p>
        </w:tc>
      </w:tr>
    </w:tbl>
    <w:p w:rsidR="009F51DC" w:rsidRPr="00D93646" w:rsidRDefault="009F51DC" w:rsidP="00F221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72B53" w:rsidRPr="00D93646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281F9A" w:rsidRDefault="00C41631" w:rsidP="00C41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ДЕЯКІ ПИТАННЯ ЩОДО ЗАПОБІГАННЯ </w:t>
      </w:r>
    </w:p>
    <w:p w:rsidR="00BC46DA" w:rsidRPr="00C41631" w:rsidRDefault="00C41631" w:rsidP="00C41631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ЗАХОПЛЕННЮ </w:t>
      </w:r>
      <w:r w:rsidR="00FA410D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ПІДПРИЄМСТВ</w:t>
      </w:r>
    </w:p>
    <w:p w:rsid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P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FA410D" w:rsidRDefault="00FA410D" w:rsidP="0091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445A" w:rsidRPr="00D93646" w:rsidRDefault="00EA445A" w:rsidP="0091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D93646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D93646" w:rsidSect="005A0ACB">
      <w:pgSz w:w="16838" w:h="11906" w:orient="landscape"/>
      <w:pgMar w:top="993" w:right="395" w:bottom="993" w:left="709" w:header="709" w:footer="709" w:gutter="0"/>
      <w:cols w:num="3" w:space="68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B5"/>
    <w:multiLevelType w:val="hybridMultilevel"/>
    <w:tmpl w:val="22CE9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33A7"/>
    <w:multiLevelType w:val="hybridMultilevel"/>
    <w:tmpl w:val="7EA87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13312F0"/>
    <w:multiLevelType w:val="hybridMultilevel"/>
    <w:tmpl w:val="5CDCB8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3551B"/>
    <w:multiLevelType w:val="hybridMultilevel"/>
    <w:tmpl w:val="6BB45D5E"/>
    <w:lvl w:ilvl="0" w:tplc="9A702602">
      <w:start w:val="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304A0E"/>
    <w:multiLevelType w:val="hybridMultilevel"/>
    <w:tmpl w:val="B91A91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9C25C9"/>
    <w:multiLevelType w:val="hybridMultilevel"/>
    <w:tmpl w:val="9D008A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F4B48"/>
    <w:multiLevelType w:val="hybridMultilevel"/>
    <w:tmpl w:val="9B34BE6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7E01FA"/>
    <w:multiLevelType w:val="hybridMultilevel"/>
    <w:tmpl w:val="60783404"/>
    <w:lvl w:ilvl="0" w:tplc="338A933E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  <w:b w:val="0"/>
        <w:color w:val="3B3835"/>
        <w:sz w:val="21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36B39DA"/>
    <w:multiLevelType w:val="hybridMultilevel"/>
    <w:tmpl w:val="239C5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C46"/>
    <w:multiLevelType w:val="hybridMultilevel"/>
    <w:tmpl w:val="8A96FED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66D"/>
    <w:multiLevelType w:val="multilevel"/>
    <w:tmpl w:val="42D8E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B6C7C"/>
    <w:multiLevelType w:val="multilevel"/>
    <w:tmpl w:val="22A80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64CA1"/>
    <w:multiLevelType w:val="hybridMultilevel"/>
    <w:tmpl w:val="712C0156"/>
    <w:lvl w:ilvl="0" w:tplc="D528D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B3835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91D87"/>
    <w:multiLevelType w:val="hybridMultilevel"/>
    <w:tmpl w:val="46DAA47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7"/>
  </w:num>
  <w:num w:numId="13">
    <w:abstractNumId w:val="5"/>
  </w:num>
  <w:num w:numId="14">
    <w:abstractNumId w:val="18"/>
  </w:num>
  <w:num w:numId="15">
    <w:abstractNumId w:val="16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87E62"/>
    <w:rsid w:val="000A53AD"/>
    <w:rsid w:val="00123AFB"/>
    <w:rsid w:val="001D5220"/>
    <w:rsid w:val="00210CF2"/>
    <w:rsid w:val="002365FF"/>
    <w:rsid w:val="00281F9A"/>
    <w:rsid w:val="00286150"/>
    <w:rsid w:val="002C0BE0"/>
    <w:rsid w:val="002F1319"/>
    <w:rsid w:val="00334E40"/>
    <w:rsid w:val="00335E30"/>
    <w:rsid w:val="0035477B"/>
    <w:rsid w:val="003835A7"/>
    <w:rsid w:val="00390EC0"/>
    <w:rsid w:val="003E7425"/>
    <w:rsid w:val="00427608"/>
    <w:rsid w:val="00444A8F"/>
    <w:rsid w:val="0046481D"/>
    <w:rsid w:val="00480271"/>
    <w:rsid w:val="0049085D"/>
    <w:rsid w:val="004A44D2"/>
    <w:rsid w:val="004E394B"/>
    <w:rsid w:val="004E4E62"/>
    <w:rsid w:val="004F0FB9"/>
    <w:rsid w:val="00515A07"/>
    <w:rsid w:val="00517C2A"/>
    <w:rsid w:val="00524456"/>
    <w:rsid w:val="005342AA"/>
    <w:rsid w:val="005A0ACB"/>
    <w:rsid w:val="005C2C1B"/>
    <w:rsid w:val="005C2E80"/>
    <w:rsid w:val="005E3499"/>
    <w:rsid w:val="005E5A8E"/>
    <w:rsid w:val="00691D58"/>
    <w:rsid w:val="006A14CA"/>
    <w:rsid w:val="006B425F"/>
    <w:rsid w:val="006F6CCA"/>
    <w:rsid w:val="00703FB3"/>
    <w:rsid w:val="007077E8"/>
    <w:rsid w:val="007343C4"/>
    <w:rsid w:val="00743B4A"/>
    <w:rsid w:val="00790670"/>
    <w:rsid w:val="007A250F"/>
    <w:rsid w:val="007E1A17"/>
    <w:rsid w:val="007F1AA2"/>
    <w:rsid w:val="007F5773"/>
    <w:rsid w:val="008528E1"/>
    <w:rsid w:val="00885C86"/>
    <w:rsid w:val="008B18E0"/>
    <w:rsid w:val="008F3DC4"/>
    <w:rsid w:val="009023F6"/>
    <w:rsid w:val="00914189"/>
    <w:rsid w:val="00936A07"/>
    <w:rsid w:val="00941AC5"/>
    <w:rsid w:val="00944F96"/>
    <w:rsid w:val="009931E6"/>
    <w:rsid w:val="009F51DC"/>
    <w:rsid w:val="00A0078F"/>
    <w:rsid w:val="00A12C43"/>
    <w:rsid w:val="00A34EC4"/>
    <w:rsid w:val="00A4291A"/>
    <w:rsid w:val="00A454A0"/>
    <w:rsid w:val="00A8424C"/>
    <w:rsid w:val="00AA27B6"/>
    <w:rsid w:val="00AA4556"/>
    <w:rsid w:val="00AD4D28"/>
    <w:rsid w:val="00B27BBE"/>
    <w:rsid w:val="00B72B53"/>
    <w:rsid w:val="00B97ECC"/>
    <w:rsid w:val="00BC46DA"/>
    <w:rsid w:val="00C41631"/>
    <w:rsid w:val="00C83832"/>
    <w:rsid w:val="00C900BE"/>
    <w:rsid w:val="00CE07A4"/>
    <w:rsid w:val="00CF12E4"/>
    <w:rsid w:val="00D139D5"/>
    <w:rsid w:val="00D216E7"/>
    <w:rsid w:val="00D611E3"/>
    <w:rsid w:val="00D83E19"/>
    <w:rsid w:val="00D93646"/>
    <w:rsid w:val="00D9435C"/>
    <w:rsid w:val="00DA0E6F"/>
    <w:rsid w:val="00E15E69"/>
    <w:rsid w:val="00E27BC1"/>
    <w:rsid w:val="00E51787"/>
    <w:rsid w:val="00E5761B"/>
    <w:rsid w:val="00E66CA2"/>
    <w:rsid w:val="00E91B31"/>
    <w:rsid w:val="00E92D78"/>
    <w:rsid w:val="00EA445A"/>
    <w:rsid w:val="00EB5465"/>
    <w:rsid w:val="00EC2E81"/>
    <w:rsid w:val="00F02617"/>
    <w:rsid w:val="00F05776"/>
    <w:rsid w:val="00F142A7"/>
    <w:rsid w:val="00F221A0"/>
    <w:rsid w:val="00F2393C"/>
    <w:rsid w:val="00F31239"/>
    <w:rsid w:val="00F36EDC"/>
    <w:rsid w:val="00F41C02"/>
    <w:rsid w:val="00F47D72"/>
    <w:rsid w:val="00F511D5"/>
    <w:rsid w:val="00F663B7"/>
    <w:rsid w:val="00F770FA"/>
    <w:rsid w:val="00F97B71"/>
    <w:rsid w:val="00FA410D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5529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90EC0"/>
    <w:rPr>
      <w:b/>
      <w:bCs/>
    </w:rPr>
  </w:style>
  <w:style w:type="paragraph" w:styleId="a9">
    <w:name w:val="List Paragraph"/>
    <w:basedOn w:val="a"/>
    <w:uiPriority w:val="34"/>
    <w:qFormat/>
    <w:rsid w:val="00390E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6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Emphasis"/>
    <w:basedOn w:val="a0"/>
    <w:uiPriority w:val="20"/>
    <w:qFormat/>
    <w:rsid w:val="00D61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5</cp:lastModifiedBy>
  <cp:revision>27</cp:revision>
  <cp:lastPrinted>2018-06-13T12:54:00Z</cp:lastPrinted>
  <dcterms:created xsi:type="dcterms:W3CDTF">2018-06-04T08:55:00Z</dcterms:created>
  <dcterms:modified xsi:type="dcterms:W3CDTF">2018-06-14T08:40:00Z</dcterms:modified>
</cp:coreProperties>
</file>