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9" w:rsidRPr="00EA2689" w:rsidRDefault="00EA2689" w:rsidP="00EA2689">
      <w:pPr>
        <w:ind w:left="11328"/>
        <w:jc w:val="both"/>
      </w:pPr>
      <w:r w:rsidRPr="00EA2689">
        <w:t xml:space="preserve">Додаток 1 </w:t>
      </w:r>
    </w:p>
    <w:p w:rsidR="00EA2689" w:rsidRPr="00EA2689" w:rsidRDefault="00EA2689" w:rsidP="00EA2689">
      <w:pPr>
        <w:ind w:left="11328"/>
        <w:jc w:val="both"/>
      </w:pPr>
      <w:r w:rsidRPr="00EA2689">
        <w:t xml:space="preserve">до листа Головного управління </w:t>
      </w:r>
    </w:p>
    <w:p w:rsidR="00EA2689" w:rsidRPr="00EA2689" w:rsidRDefault="00EA2689" w:rsidP="00EA2689">
      <w:pPr>
        <w:ind w:left="11328"/>
        <w:jc w:val="both"/>
      </w:pPr>
      <w:r w:rsidRPr="00EA2689">
        <w:t xml:space="preserve">Державної казначейської служби </w:t>
      </w:r>
    </w:p>
    <w:p w:rsidR="00EA2689" w:rsidRPr="00EA2689" w:rsidRDefault="00EA2689" w:rsidP="00EA2689">
      <w:pPr>
        <w:ind w:left="11328"/>
        <w:jc w:val="both"/>
      </w:pPr>
      <w:r w:rsidRPr="00EA2689">
        <w:t xml:space="preserve">України у Херсонській області </w:t>
      </w:r>
    </w:p>
    <w:p w:rsidR="00EA2689" w:rsidRPr="00EA2689" w:rsidRDefault="00EA2689" w:rsidP="00EA2689">
      <w:pPr>
        <w:ind w:left="11328"/>
        <w:jc w:val="both"/>
      </w:pPr>
      <w:r w:rsidRPr="00EA2689">
        <w:t>від 18.06.2021</w:t>
      </w:r>
    </w:p>
    <w:p w:rsidR="0041078C" w:rsidRPr="00EA2689" w:rsidRDefault="0041078C" w:rsidP="009D1196">
      <w:pPr>
        <w:jc w:val="center"/>
        <w:rPr>
          <w:b/>
          <w:sz w:val="24"/>
          <w:szCs w:val="24"/>
        </w:rPr>
      </w:pPr>
      <w:r w:rsidRPr="00EA2689">
        <w:rPr>
          <w:b/>
          <w:sz w:val="24"/>
          <w:szCs w:val="24"/>
        </w:rPr>
        <w:t>Структура</w:t>
      </w:r>
    </w:p>
    <w:p w:rsidR="0041078C" w:rsidRPr="00EA2689" w:rsidRDefault="0041078C" w:rsidP="009D1196">
      <w:pPr>
        <w:jc w:val="center"/>
        <w:rPr>
          <w:b/>
          <w:sz w:val="24"/>
          <w:szCs w:val="24"/>
        </w:rPr>
      </w:pPr>
      <w:r w:rsidRPr="00EA2689">
        <w:rPr>
          <w:b/>
          <w:sz w:val="24"/>
          <w:szCs w:val="24"/>
        </w:rPr>
        <w:t xml:space="preserve"> Головного управління Державної казначейської служби України у Херсонській  області</w:t>
      </w:r>
    </w:p>
    <w:p w:rsidR="0041078C" w:rsidRPr="00B677D1" w:rsidRDefault="0041078C" w:rsidP="002D32F3">
      <w:pPr>
        <w:ind w:firstLine="709"/>
        <w:jc w:val="center"/>
        <w:rPr>
          <w:rFonts w:ascii="Verdana" w:hAnsi="Verdana"/>
          <w:b/>
          <w:sz w:val="10"/>
          <w:szCs w:val="10"/>
        </w:rPr>
      </w:pPr>
    </w:p>
    <w:p w:rsidR="0041078C" w:rsidRDefault="003C0828" w:rsidP="002D32F3">
      <w:pPr>
        <w:jc w:val="center"/>
        <w:rPr>
          <w:b/>
          <w:sz w:val="22"/>
          <w:lang w:eastAsia="ru-RU"/>
        </w:rPr>
      </w:pPr>
      <w:r w:rsidRPr="003C0828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6.15pt;width:281pt;height:49.5pt;z-index:251660288;mso-wrap-distance-left:9.05pt;mso-wrap-distance-right:9.05pt" strokeweight="3pt">
            <v:fill color2="black"/>
            <v:stroke linestyle="thinThin"/>
            <v:shadow on="t" opacity=".5" offset="6pt,-6pt"/>
            <v:textbox style="mso-next-textbox:#_x0000_s1026" inset="1.2pt,0,1.2pt,0">
              <w:txbxContent>
                <w:p w:rsidR="00E743AB" w:rsidRPr="00A51BE5" w:rsidRDefault="00E743AB" w:rsidP="002D32F3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743AB" w:rsidRPr="00A51BE5" w:rsidRDefault="00E743AB" w:rsidP="002D32F3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A51BE5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Начальник Головного управління </w:t>
                  </w:r>
                </w:p>
              </w:txbxContent>
            </v:textbox>
          </v:shape>
        </w:pict>
      </w:r>
    </w:p>
    <w:p w:rsidR="0041078C" w:rsidRDefault="0041078C" w:rsidP="002D32F3">
      <w:pPr>
        <w:jc w:val="center"/>
      </w:pP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27" type="#_x0000_t202" style="position:absolute;left:0;text-align:left;margin-left:0;margin-top:9pt;width:3in;height:48.3pt;z-index:251646976;mso-wrap-distance-left:9.05pt;mso-wrap-distance-right:9.05pt" strokeweight="3pt">
            <v:fill color2="black"/>
            <v:stroke linestyle="thinThin"/>
            <v:shadow on="t" opacity=".5" offset="6pt,-6pt"/>
            <v:textbox style="mso-next-textbox:#_x0000_s1027" inset="1.2pt,0,1.2pt,0">
              <w:txbxContent>
                <w:p w:rsidR="00E743AB" w:rsidRPr="00A51BE5" w:rsidRDefault="00E743AB" w:rsidP="002D32F3">
                  <w:pPr>
                    <w:shd w:val="clear" w:color="auto" w:fill="BFBFB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Заступник начальника                                         Головного управління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8" type="#_x0000_t202" style="position:absolute;left:0;text-align:left;margin-left:531pt;margin-top:9pt;width:225pt;height:46.4pt;z-index:251648000;mso-wrap-distance-left:9.05pt;mso-wrap-distance-right:9.05pt" strokeweight="3pt">
            <v:fill color2="black"/>
            <v:stroke linestyle="thinThin"/>
            <v:shadow on="t" opacity=".5" offset="6pt,-6pt"/>
            <v:textbox style="mso-next-textbox:#_x0000_s1028" inset="1.2pt,0,1.2pt,0">
              <w:txbxContent>
                <w:p w:rsidR="00E743AB" w:rsidRPr="00A51BE5" w:rsidRDefault="00E743AB" w:rsidP="002D32F3">
                  <w:pPr>
                    <w:pStyle w:val="21"/>
                    <w:shd w:val="clear" w:color="auto" w:fill="BFBFBF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Заступник  начальника</w:t>
                  </w:r>
                  <w:r w:rsidRPr="00A51BE5"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A51BE5">
                    <w:rPr>
                      <w:b/>
                      <w:sz w:val="24"/>
                      <w:szCs w:val="24"/>
                    </w:rPr>
                    <w:t>Головного управління</w:t>
                  </w:r>
                </w:p>
              </w:txbxContent>
            </v:textbox>
          </v:shape>
        </w:pict>
      </w: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30" type="#_x0000_t202" style="position:absolute;left:0;text-align:left;margin-left:279pt;margin-top:5.9pt;width:207pt;height:33pt;z-index:251653120;mso-wrap-distance-left:9.05pt;mso-wrap-distance-right:9.05pt">
            <v:fill color2="black"/>
            <v:shadow on="t" opacity=".5" offset="6pt,-6pt"/>
            <v:textbox style="mso-next-textbox:#_x0000_s1030">
              <w:txbxContent>
                <w:p w:rsidR="001D65A5" w:rsidRPr="00425E6F" w:rsidRDefault="00E743AB" w:rsidP="002D32F3">
                  <w:pPr>
                    <w:pStyle w:val="2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Сектор внутрішнього аудиту</w:t>
                  </w:r>
                </w:p>
                <w:p w:rsidR="00E743AB" w:rsidRDefault="00E743AB" w:rsidP="002D32F3">
                  <w:pPr>
                    <w:pStyle w:val="21"/>
                    <w:shd w:val="clear" w:color="auto" w:fill="FFFFFF"/>
                    <w:ind w:hanging="142"/>
                  </w:pPr>
                </w:p>
                <w:p w:rsidR="00E743AB" w:rsidRDefault="00E743AB" w:rsidP="002D32F3">
                  <w:pPr>
                    <w:jc w:val="center"/>
                    <w:rPr>
                      <w:sz w:val="16"/>
                    </w:rPr>
                  </w:pPr>
                </w:p>
                <w:p w:rsidR="00E743AB" w:rsidRDefault="00E743AB" w:rsidP="002D32F3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Pr="00B677D1" w:rsidRDefault="0041078C" w:rsidP="002D32F3">
      <w:pPr>
        <w:jc w:val="center"/>
        <w:rPr>
          <w:lang w:val="ru-RU"/>
        </w:rPr>
      </w:pPr>
    </w:p>
    <w:p w:rsidR="0041078C" w:rsidRDefault="003C0828" w:rsidP="002D32F3">
      <w:pPr>
        <w:jc w:val="center"/>
      </w:pPr>
      <w:r>
        <w:rPr>
          <w:noProof/>
          <w:lang w:val="ru-RU" w:eastAsia="ru-RU"/>
        </w:rPr>
        <w:pict>
          <v:shape id="_x0000_s1032" type="#_x0000_t202" style="position:absolute;left:0;text-align:left;margin-left:531pt;margin-top:4.4pt;width:225pt;height:67.3pt;z-index:251650048;mso-wrap-distance-left:9.05pt;mso-wrap-distance-right:9.05pt">
            <v:fill color2="black"/>
            <v:shadow on="t" opacity=".5" offset="6pt,-6pt"/>
            <v:textbox style="mso-next-textbox:#_x0000_s1032">
              <w:txbxContent>
                <w:p w:rsidR="00E743AB" w:rsidRPr="00425E6F" w:rsidRDefault="00E743AB" w:rsidP="002D32F3">
                  <w:pPr>
                    <w:pStyle w:val="21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Управління обслуговування   розпорядників коштів та інших клієнтів</w:t>
                  </w:r>
                </w:p>
                <w:p w:rsidR="00E743AB" w:rsidRDefault="00E743AB" w:rsidP="002D32F3">
                  <w:pPr>
                    <w:pStyle w:val="21"/>
                    <w:rPr>
                      <w:b/>
                    </w:rPr>
                  </w:pPr>
                  <w:r>
                    <w:rPr>
                      <w:b/>
                      <w:i/>
                      <w:sz w:val="18"/>
                    </w:rPr>
                    <w:t>.</w:t>
                  </w:r>
                </w:p>
                <w:p w:rsidR="00E743AB" w:rsidRDefault="00E743AB" w:rsidP="002D32F3"/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3" type="#_x0000_t202" style="position:absolute;left:0;text-align:left;margin-left:279pt;margin-top:10.2pt;width:207pt;height:45.7pt;z-index:251656192;mso-wrap-distance-left:9.05pt;mso-wrap-distance-right:9.05pt" strokeweight="1pt">
            <v:fill color2="black"/>
            <v:shadow on="t" opacity=".5" offset="6pt,-6pt"/>
            <v:textbox style="mso-next-textbox:#_x0000_s1033">
              <w:txbxContent>
                <w:p w:rsidR="00E743AB" w:rsidRPr="00425E6F" w:rsidRDefault="00E743AB" w:rsidP="002D32F3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 xml:space="preserve">Відділ персоналу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0;margin-top:3pt;width:227.55pt;height:68.7pt;z-index:251652096;mso-wrap-distance-left:9.05pt;mso-wrap-distance-right:9.05pt">
            <v:fill color2="black"/>
            <v:shadow on="t" opacity=".5" offset="6pt,-6pt"/>
            <v:textbox style="mso-next-textbox:#_x0000_s1031">
              <w:txbxContent>
                <w:p w:rsidR="00E169B2" w:rsidRPr="00A51BE5" w:rsidRDefault="00E169B2" w:rsidP="00E169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 xml:space="preserve">Управління бюджетних надходжень та операцій з </w:t>
                  </w:r>
                </w:p>
                <w:p w:rsidR="00E169B2" w:rsidRPr="00A51BE5" w:rsidRDefault="00E169B2" w:rsidP="00E169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фінансовим ресурсом</w:t>
                  </w:r>
                </w:p>
                <w:p w:rsidR="00E743AB" w:rsidRPr="00A51BE5" w:rsidRDefault="00E743AB" w:rsidP="002D32F3">
                  <w:pPr>
                    <w:pStyle w:val="21"/>
                    <w:shd w:val="clear" w:color="auto" w:fill="FFFFFF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line id="_x0000_s1034" style="position:absolute;left:0;text-align:left;flip:y;z-index:251665408" from="801pt,2.55pt" to="801pt,137.55pt" strokeweight="1.5pt"/>
        </w:pict>
      </w: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3C0828" w:rsidP="002D32F3">
      <w:pPr>
        <w:jc w:val="center"/>
      </w:pPr>
      <w:r>
        <w:rPr>
          <w:noProof/>
          <w:lang w:val="ru-RU" w:eastAsia="ru-RU"/>
        </w:rPr>
        <w:pict>
          <v:shape id="_x0000_s1037" type="#_x0000_t202" style="position:absolute;left:0;text-align:left;margin-left:279pt;margin-top:2.15pt;width:207pt;height:34.6pt;z-index:251657216;mso-wrap-distance-left:9.05pt;mso-wrap-distance-right:9.05pt">
            <v:fill color2="black"/>
            <v:shadow on="t" opacity=".5" offset="6pt,-6pt"/>
            <v:textbox style="mso-next-textbox:#_x0000_s1037">
              <w:txbxContent>
                <w:p w:rsidR="00E743AB" w:rsidRPr="00425E6F" w:rsidRDefault="00E743AB" w:rsidP="002D32F3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Юридичний відділ</w:t>
                  </w:r>
                </w:p>
              </w:txbxContent>
            </v:textbox>
          </v:shape>
        </w:pict>
      </w:r>
    </w:p>
    <w:p w:rsidR="0041078C" w:rsidRDefault="0041078C" w:rsidP="002D32F3">
      <w:pPr>
        <w:jc w:val="center"/>
      </w:pP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35" type="#_x0000_t202" style="position:absolute;left:0;text-align:left;margin-left:531pt;margin-top:9.15pt;width:225pt;height:53.35pt;z-index:251649024;mso-wrap-distance-left:9.05pt;mso-wrap-distance-right:9.05pt">
            <v:fill color2="black"/>
            <v:shadow on="t" opacity=".5" offset="6pt,-6pt"/>
            <v:textbox style="mso-next-textbox:#_x0000_s1035">
              <w:txbxContent>
                <w:p w:rsidR="00E743AB" w:rsidRPr="00425E6F" w:rsidRDefault="00E743AB" w:rsidP="00EE09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05A">
                    <w:rPr>
                      <w:sz w:val="22"/>
                      <w:szCs w:val="22"/>
                    </w:rPr>
                    <w:t xml:space="preserve">      </w:t>
                  </w:r>
                  <w:r w:rsidRPr="00425E6F">
                    <w:rPr>
                      <w:b/>
                      <w:sz w:val="24"/>
                      <w:szCs w:val="24"/>
                    </w:rPr>
                    <w:t>Управління консолідованої  звітності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6" type="#_x0000_t202" style="position:absolute;left:0;text-align:left;margin-left:.7pt;margin-top:3.5pt;width:226.85pt;height:59pt;z-index:251651072;mso-wrap-distance-left:9.05pt;mso-wrap-distance-right:9.05pt">
            <v:fill color2="black"/>
            <v:shadow on="t" opacity=".5" offset="6pt,-6pt"/>
            <v:textbox style="mso-next-textbox:#_x0000_s1036">
              <w:txbxContent>
                <w:p w:rsidR="00E169B2" w:rsidRPr="00A51BE5" w:rsidRDefault="00E169B2" w:rsidP="00E169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Управління видатків бюджетів та міжбюджетних відносин</w:t>
                  </w:r>
                </w:p>
              </w:txbxContent>
            </v:textbox>
          </v:shape>
        </w:pict>
      </w: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40" type="#_x0000_t202" style="position:absolute;left:0;text-align:left;margin-left:275.25pt;margin-top:9.8pt;width:207pt;height:35.5pt;z-index:251662336;mso-wrap-distance-left:9.05pt;mso-wrap-distance-right:9.05pt">
            <v:fill color2="black"/>
            <v:shadow on="t" opacity=".5" offset="6pt,-6pt"/>
            <v:textbox style="mso-next-textbox:#_x0000_s1040">
              <w:txbxContent>
                <w:p w:rsidR="00E743AB" w:rsidRPr="00425E6F" w:rsidRDefault="00E743AB" w:rsidP="004A01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 xml:space="preserve">Відділ фінансової роботи </w:t>
                  </w:r>
                </w:p>
                <w:p w:rsidR="00E743AB" w:rsidRDefault="00E743AB" w:rsidP="002D32F3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41078C" w:rsidP="002D32F3">
      <w:pPr>
        <w:jc w:val="center"/>
        <w:rPr>
          <w:lang w:val="ru-RU" w:eastAsia="ru-RU"/>
        </w:rPr>
      </w:pPr>
    </w:p>
    <w:p w:rsidR="0041078C" w:rsidRDefault="0041078C" w:rsidP="002D32F3">
      <w:pPr>
        <w:jc w:val="center"/>
      </w:pPr>
    </w:p>
    <w:p w:rsidR="0041078C" w:rsidRDefault="0041078C" w:rsidP="002D32F3">
      <w:pPr>
        <w:jc w:val="center"/>
      </w:pPr>
    </w:p>
    <w:p w:rsidR="0041078C" w:rsidRDefault="003C0828" w:rsidP="002D32F3">
      <w:pPr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49" type="#_x0000_t202" style="position:absolute;left:0;text-align:left;margin-left:275.25pt;margin-top:.9pt;width:207pt;height:51pt;z-index:251669504;mso-wrap-distance-left:9.05pt;mso-wrap-distance-right:9.05pt">
            <v:fill color2="black"/>
            <v:shadow on="t" opacity=".5" offset="6pt,-6pt"/>
            <v:textbox style="mso-next-textbox:#_x0000_s1049">
              <w:txbxContent>
                <w:p w:rsidR="00E743AB" w:rsidRPr="00425E6F" w:rsidRDefault="00E743AB" w:rsidP="00EE1B09">
                  <w:pPr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Відділ адміністративно-господарської роботи</w:t>
                  </w:r>
                </w:p>
                <w:p w:rsidR="00E743AB" w:rsidRDefault="00E743AB" w:rsidP="00EE1B09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5" type="#_x0000_t202" style="position:absolute;left:0;text-align:left;margin-left:.7pt;margin-top:.9pt;width:226.85pt;height:64.55pt;z-index:251664384;mso-wrap-distance-left:9.05pt;mso-wrap-distance-right:9.05pt">
            <v:fill color2="black"/>
            <v:shadow on="t" opacity=".5" offset="6pt,-6pt"/>
            <v:textbox style="mso-next-textbox:#_x0000_s1045">
              <w:txbxContent>
                <w:p w:rsidR="00A51BE5" w:rsidRPr="00A51BE5" w:rsidRDefault="00E743AB" w:rsidP="008C4AEE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Управління  інформаційних технологій</w:t>
                  </w:r>
                </w:p>
                <w:p w:rsidR="00E743AB" w:rsidRPr="00A51BE5" w:rsidRDefault="00E743AB" w:rsidP="00A51BE5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743AB" w:rsidRDefault="00E743AB" w:rsidP="002D32F3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_x0000_s1043" style="position:absolute;left:0;text-align:left;flip:x;z-index:251666432" from="801pt,11.05pt" to="801pt,173.05pt" strokeweight="1.5pt"/>
        </w:pict>
      </w:r>
      <w:r>
        <w:rPr>
          <w:noProof/>
          <w:lang w:val="ru-RU" w:eastAsia="ru-RU"/>
        </w:rPr>
        <w:pict>
          <v:line id="_x0000_s1044" style="position:absolute;left:0;text-align:left;flip:x;z-index:251658240" from="11in,11.05pt" to="801pt,11.05pt" strokeweight=".26mm">
            <v:stroke endarrow="block" joinstyle="miter" endcap="square"/>
          </v:line>
        </w:pict>
      </w: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38" type="#_x0000_t202" style="position:absolute;left:0;text-align:left;margin-left:531pt;margin-top:3.3pt;width:225pt;height:57.95pt;z-index:251668480;mso-wrap-distance-left:9.05pt;mso-wrap-distance-right:9.05pt">
            <v:fill color2="black"/>
            <v:shadow on="t" opacity=".5" offset="6pt,-6pt"/>
            <v:textbox style="mso-next-textbox:#_x0000_s1038">
              <w:txbxContent>
                <w:p w:rsidR="00E743AB" w:rsidRPr="00425E6F" w:rsidRDefault="00E743AB" w:rsidP="00EE09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Управління  бухгалтерського обліку операцій з виконання бюджетів</w:t>
                  </w:r>
                </w:p>
              </w:txbxContent>
            </v:textbox>
          </v:shape>
        </w:pict>
      </w:r>
    </w:p>
    <w:p w:rsidR="0041078C" w:rsidRDefault="0041078C" w:rsidP="002D32F3">
      <w:pPr>
        <w:jc w:val="center"/>
      </w:pPr>
      <w:r>
        <w:rPr>
          <w:b/>
          <w:i/>
          <w:lang w:val="ru-RU" w:eastAsia="ru-RU"/>
        </w:rPr>
        <w:t xml:space="preserve"> </w:t>
      </w:r>
    </w:p>
    <w:p w:rsidR="0041078C" w:rsidRDefault="0041078C" w:rsidP="002D32F3">
      <w:pPr>
        <w:jc w:val="center"/>
        <w:rPr>
          <w:lang w:val="ru-RU" w:eastAsia="ru-RU"/>
        </w:rPr>
      </w:pPr>
    </w:p>
    <w:p w:rsidR="00E169B2" w:rsidRPr="00AC55B8" w:rsidRDefault="00E169B2" w:rsidP="00E169B2">
      <w:pPr>
        <w:pStyle w:val="21"/>
        <w:shd w:val="clear" w:color="auto" w:fill="FFFFFF"/>
        <w:rPr>
          <w:b/>
          <w:sz w:val="22"/>
          <w:szCs w:val="22"/>
          <w:lang w:val="ru-RU"/>
        </w:rPr>
      </w:pPr>
    </w:p>
    <w:p w:rsidR="0041078C" w:rsidRDefault="003C0828" w:rsidP="002D32F3">
      <w:pPr>
        <w:jc w:val="center"/>
      </w:pPr>
      <w:r w:rsidRPr="003C0828">
        <w:rPr>
          <w:b/>
          <w:noProof/>
          <w:sz w:val="22"/>
          <w:szCs w:val="22"/>
          <w:lang w:val="ru-RU" w:eastAsia="ru-RU"/>
        </w:rPr>
        <w:pict>
          <v:shape id="_x0000_s1053" type="#_x0000_t202" style="position:absolute;left:0;text-align:left;margin-left:275.25pt;margin-top:6.8pt;width:207pt;height:38.95pt;z-index:251672576;mso-wrap-distance-left:9.05pt;mso-wrap-distance-right:9.05pt">
            <v:fill color2="black"/>
            <v:shadow on="t" opacity=".5" offset="6pt,-6pt"/>
            <v:textbox style="mso-next-textbox:#_x0000_s1053">
              <w:txbxContent>
                <w:p w:rsidR="00E169B2" w:rsidRPr="00425E6F" w:rsidRDefault="00E169B2" w:rsidP="00E169B2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Відділ діловодства</w:t>
                  </w:r>
                </w:p>
                <w:p w:rsidR="00E169B2" w:rsidRDefault="00E169B2" w:rsidP="00E169B2"/>
                <w:p w:rsidR="00E169B2" w:rsidRDefault="00E169B2" w:rsidP="00E169B2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</w:p>
    <w:p w:rsidR="0041078C" w:rsidRDefault="003C0828" w:rsidP="002D32F3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pict>
          <v:shape id="_x0000_s1046" type="#_x0000_t202" style="position:absolute;left:0;text-align:left;margin-left:0;margin-top:9.5pt;width:223.05pt;height:42.75pt;z-index:251663360;mso-wrap-distance-left:9.05pt;mso-wrap-distance-right:9.05pt">
            <v:fill color2="black"/>
            <v:shadow on="t" opacity=".5" offset="6pt,-6pt"/>
            <v:textbox style="mso-next-textbox:#_x0000_s1046">
              <w:txbxContent>
                <w:p w:rsidR="00A51BE5" w:rsidRPr="00A51BE5" w:rsidRDefault="00A51BE5" w:rsidP="00A51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BE5">
                    <w:rPr>
                      <w:b/>
                      <w:sz w:val="24"/>
                      <w:szCs w:val="24"/>
                    </w:rPr>
                    <w:t>Сектор з питань захисту інформації</w:t>
                  </w:r>
                </w:p>
              </w:txbxContent>
            </v:textbox>
          </v:shape>
        </w:pict>
      </w:r>
    </w:p>
    <w:p w:rsidR="0041078C" w:rsidRPr="00E3005A" w:rsidRDefault="003C0828" w:rsidP="008C4AEE">
      <w:pPr>
        <w:pStyle w:val="21"/>
        <w:ind w:right="-120"/>
        <w:rPr>
          <w:b/>
          <w:i/>
          <w:sz w:val="22"/>
          <w:szCs w:val="22"/>
        </w:rPr>
      </w:pPr>
      <w:r w:rsidRPr="003C0828">
        <w:rPr>
          <w:noProof/>
          <w:lang w:val="ru-RU" w:eastAsia="ru-RU"/>
        </w:rPr>
        <w:pict>
          <v:shape id="_x0000_s1051" type="#_x0000_t202" style="position:absolute;left:0;text-align:left;margin-left:531pt;margin-top:10.75pt;width:225pt;height:46.2pt;z-index:251671552;mso-wrap-distance-left:9.05pt;mso-wrap-distance-right:9.05pt">
            <v:fill color2="black"/>
            <v:shadow on="t" opacity=".5" offset="6pt,-6pt"/>
            <v:textbox style="mso-next-textbox:#_x0000_s1051">
              <w:txbxContent>
                <w:p w:rsidR="00E743AB" w:rsidRPr="00425E6F" w:rsidRDefault="00E743AB" w:rsidP="00857838">
                  <w:pPr>
                    <w:pStyle w:val="21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Головний спеціаліст із закупівель</w:t>
                  </w:r>
                </w:p>
                <w:p w:rsidR="00E743AB" w:rsidRPr="00425E6F" w:rsidRDefault="00E743AB" w:rsidP="00857838">
                  <w:pPr>
                    <w:pStyle w:val="21"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43AB" w:rsidRPr="002D32F3" w:rsidRDefault="00E743AB" w:rsidP="00E743AB">
      <w:pPr>
        <w:pStyle w:val="21"/>
        <w:shd w:val="clear" w:color="auto" w:fill="FFFFFF"/>
        <w:rPr>
          <w:b/>
          <w:sz w:val="22"/>
          <w:szCs w:val="22"/>
        </w:rPr>
      </w:pPr>
      <w:r w:rsidRPr="002D32F3">
        <w:rPr>
          <w:b/>
          <w:sz w:val="22"/>
          <w:szCs w:val="22"/>
        </w:rPr>
        <w:t xml:space="preserve"> </w:t>
      </w:r>
    </w:p>
    <w:p w:rsidR="00E743AB" w:rsidRPr="00E169B2" w:rsidRDefault="003C0828" w:rsidP="00E743AB">
      <w:pPr>
        <w:pStyle w:val="21"/>
        <w:shd w:val="clear" w:color="auto" w:fill="FFFFFF"/>
        <w:rPr>
          <w:b/>
          <w:sz w:val="22"/>
          <w:szCs w:val="22"/>
          <w:lang w:val="ru-RU"/>
        </w:rPr>
      </w:pPr>
      <w:r w:rsidRPr="003C0828">
        <w:rPr>
          <w:noProof/>
          <w:lang w:val="ru-RU" w:eastAsia="ru-RU"/>
        </w:rPr>
        <w:pict>
          <v:shape id="_x0000_s1050" type="#_x0000_t202" style="position:absolute;left:0;text-align:left;margin-left:275.25pt;margin-top:11pt;width:207pt;height:69.7pt;z-index:251670528;mso-wrap-distance-left:9.05pt;mso-wrap-distance-right:9.05pt">
            <v:fill color2="black"/>
            <v:shadow on="t" opacity=".5" offset="6pt,-6pt"/>
            <v:textbox style="mso-next-textbox:#_x0000_s1050">
              <w:txbxContent>
                <w:p w:rsidR="00E743AB" w:rsidRPr="00425E6F" w:rsidRDefault="00E743AB" w:rsidP="00EE1B09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Головний спеціаліст  з питань запобігання  та виявлення корупції</w:t>
                  </w:r>
                </w:p>
                <w:p w:rsidR="00E743AB" w:rsidRDefault="00E743AB" w:rsidP="00EE1B09"/>
                <w:p w:rsidR="00E743AB" w:rsidRDefault="00E743AB" w:rsidP="00EE1B09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</w:p>
    <w:p w:rsidR="00E743AB" w:rsidRPr="00E169B2" w:rsidRDefault="00E743AB" w:rsidP="009E2DCD">
      <w:pPr>
        <w:pStyle w:val="a3"/>
        <w:ind w:left="5954"/>
        <w:rPr>
          <w:lang w:val="ru-RU"/>
        </w:rPr>
      </w:pPr>
    </w:p>
    <w:p w:rsidR="00E743AB" w:rsidRPr="00E169B2" w:rsidRDefault="00E743AB" w:rsidP="009E2DCD">
      <w:pPr>
        <w:pStyle w:val="a3"/>
        <w:ind w:left="5954"/>
        <w:rPr>
          <w:lang w:val="ru-RU"/>
        </w:rPr>
      </w:pPr>
    </w:p>
    <w:p w:rsidR="0041078C" w:rsidRPr="00E743AB" w:rsidRDefault="003C0828" w:rsidP="00E743AB">
      <w:pPr>
        <w:pStyle w:val="21"/>
        <w:shd w:val="clear" w:color="auto" w:fill="FFFFFF"/>
        <w:rPr>
          <w:b/>
          <w:sz w:val="22"/>
          <w:szCs w:val="22"/>
          <w:lang w:val="en-US"/>
        </w:rPr>
      </w:pPr>
      <w:r w:rsidRPr="003C0828">
        <w:rPr>
          <w:noProof/>
          <w:lang w:val="ru-RU" w:eastAsia="ru-RU"/>
        </w:rPr>
        <w:pict>
          <v:shape id="_x0000_s1039" type="#_x0000_t202" style="position:absolute;left:0;text-align:left;margin-left:.7pt;margin-top:.6pt;width:222.35pt;height:78.15pt;z-index:251655168;mso-wrap-distance-left:9.05pt;mso-wrap-distance-right:9.05pt">
            <v:fill color2="black"/>
            <v:shadow on="t" opacity=".5" offset="6pt,-6pt"/>
            <v:textbox style="mso-next-textbox:#_x0000_s1039">
              <w:txbxContent>
                <w:p w:rsidR="00A51BE5" w:rsidRPr="00425E6F" w:rsidRDefault="00A51BE5" w:rsidP="00A51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>Сектор реєстрації та роботи з клієнтами з надання кваліфікованих електронних довірчих послуг</w:t>
                  </w:r>
                </w:p>
                <w:p w:rsidR="00E743AB" w:rsidRDefault="00E743AB" w:rsidP="00B568B1">
                  <w:pPr>
                    <w:pStyle w:val="21"/>
                    <w:shd w:val="clear" w:color="auto" w:fill="BFBFBF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68B1" w:rsidRDefault="00B568B1" w:rsidP="00B568B1">
                  <w:pPr>
                    <w:pStyle w:val="21"/>
                    <w:shd w:val="clear" w:color="auto" w:fill="BFBFBF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68B1" w:rsidRDefault="00B568B1" w:rsidP="00B568B1">
                  <w:pPr>
                    <w:pStyle w:val="21"/>
                    <w:shd w:val="clear" w:color="auto" w:fill="BFBFBF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C0828">
        <w:rPr>
          <w:noProof/>
          <w:lang w:val="ru-RU" w:eastAsia="ru-RU"/>
        </w:rPr>
        <w:pict>
          <v:shape id="_x0000_s1042" type="#_x0000_t202" style="position:absolute;left:0;text-align:left;margin-left:275.25pt;margin-top:65pt;width:207pt;height:52.45pt;z-index:251667456;mso-wrap-distance-left:9.05pt;mso-wrap-distance-right:9.05pt">
            <v:fill color2="black"/>
            <v:shadow on="t" opacity=".5" offset="6pt,-6pt"/>
            <v:textbox style="mso-next-textbox:#_x0000_s1042">
              <w:txbxContent>
                <w:p w:rsidR="00E743AB" w:rsidRPr="00425E6F" w:rsidRDefault="00E743AB" w:rsidP="004A0143">
                  <w:pPr>
                    <w:pStyle w:val="2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425E6F">
                    <w:rPr>
                      <w:b/>
                      <w:sz w:val="24"/>
                      <w:szCs w:val="24"/>
                    </w:rPr>
                    <w:t xml:space="preserve">Головний спеціаліст  режимно-секретної роботи  </w:t>
                  </w:r>
                </w:p>
                <w:p w:rsidR="00E169B2" w:rsidRPr="002D32F3" w:rsidRDefault="00E169B2" w:rsidP="004A0143">
                  <w:pPr>
                    <w:pStyle w:val="21"/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E743AB" w:rsidRDefault="00E743AB" w:rsidP="004A0143"/>
                <w:p w:rsidR="00E743AB" w:rsidRDefault="00E743AB" w:rsidP="004A0143">
                  <w:pPr>
                    <w:pStyle w:val="21"/>
                    <w:shd w:val="clear" w:color="auto" w:fill="FFFFFF"/>
                  </w:pPr>
                </w:p>
              </w:txbxContent>
            </v:textbox>
          </v:shape>
        </w:pict>
      </w:r>
      <w:r w:rsidRPr="003C0828">
        <w:rPr>
          <w:b/>
          <w:sz w:val="22"/>
          <w:szCs w:val="22"/>
          <w:lang w:val="en-US"/>
        </w:rPr>
        <w:pict>
          <v:line id="_x0000_s1047" style="position:absolute;left:0;text-align:left;flip:x y;z-index:251661312" from="11in,.6pt" to="801pt,.6pt" strokeweight=".26mm">
            <v:stroke endarrow="block" joinstyle="miter" endcap="square"/>
          </v:line>
        </w:pict>
      </w:r>
    </w:p>
    <w:sectPr w:rsidR="0041078C" w:rsidRPr="00E743AB" w:rsidSect="00EA2689">
      <w:pgSz w:w="16838" w:h="11906" w:orient="landscape"/>
      <w:pgMar w:top="142" w:right="8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32F3"/>
    <w:rsid w:val="0005331C"/>
    <w:rsid w:val="00057564"/>
    <w:rsid w:val="000C155B"/>
    <w:rsid w:val="001D65A5"/>
    <w:rsid w:val="001E5686"/>
    <w:rsid w:val="001F07A7"/>
    <w:rsid w:val="002C6707"/>
    <w:rsid w:val="002D32F3"/>
    <w:rsid w:val="00363F64"/>
    <w:rsid w:val="003A37EF"/>
    <w:rsid w:val="003C0828"/>
    <w:rsid w:val="0041078C"/>
    <w:rsid w:val="00423D72"/>
    <w:rsid w:val="00425E6F"/>
    <w:rsid w:val="004A0143"/>
    <w:rsid w:val="004F215D"/>
    <w:rsid w:val="00516F00"/>
    <w:rsid w:val="005A6282"/>
    <w:rsid w:val="00682881"/>
    <w:rsid w:val="006E74E5"/>
    <w:rsid w:val="007D7646"/>
    <w:rsid w:val="007E5943"/>
    <w:rsid w:val="008056E5"/>
    <w:rsid w:val="00857838"/>
    <w:rsid w:val="00871A99"/>
    <w:rsid w:val="008C4AEE"/>
    <w:rsid w:val="00905793"/>
    <w:rsid w:val="009D1196"/>
    <w:rsid w:val="009E2DCD"/>
    <w:rsid w:val="009F3651"/>
    <w:rsid w:val="00A1219C"/>
    <w:rsid w:val="00A253B6"/>
    <w:rsid w:val="00A31A1B"/>
    <w:rsid w:val="00A34EE9"/>
    <w:rsid w:val="00A51BE5"/>
    <w:rsid w:val="00A776D5"/>
    <w:rsid w:val="00AC55B8"/>
    <w:rsid w:val="00B13D05"/>
    <w:rsid w:val="00B568B1"/>
    <w:rsid w:val="00B578F8"/>
    <w:rsid w:val="00B677D1"/>
    <w:rsid w:val="00B77D88"/>
    <w:rsid w:val="00E169B2"/>
    <w:rsid w:val="00E3005A"/>
    <w:rsid w:val="00E743AB"/>
    <w:rsid w:val="00EA2689"/>
    <w:rsid w:val="00EE09D6"/>
    <w:rsid w:val="00EE1B09"/>
    <w:rsid w:val="00EF0756"/>
    <w:rsid w:val="00F3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3"/>
    <w:pPr>
      <w:suppressAutoHyphens/>
    </w:pPr>
    <w:rPr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32F3"/>
    <w:pPr>
      <w:jc w:val="center"/>
    </w:pPr>
    <w:rPr>
      <w:b/>
      <w:i/>
      <w:sz w:val="16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1E52"/>
    <w:rPr>
      <w:sz w:val="20"/>
      <w:szCs w:val="20"/>
      <w:lang w:val="uk-UA" w:eastAsia="zh-CN"/>
    </w:rPr>
  </w:style>
  <w:style w:type="paragraph" w:customStyle="1" w:styleId="21">
    <w:name w:val="Основной текст 21"/>
    <w:basedOn w:val="a"/>
    <w:uiPriority w:val="99"/>
    <w:rsid w:val="002D32F3"/>
    <w:pPr>
      <w:jc w:val="center"/>
    </w:pPr>
    <w:rPr>
      <w:sz w:val="16"/>
    </w:rPr>
  </w:style>
  <w:style w:type="paragraph" w:customStyle="1" w:styleId="210">
    <w:name w:val="Основной текст с отступом 21"/>
    <w:basedOn w:val="a"/>
    <w:uiPriority w:val="99"/>
    <w:rsid w:val="002D32F3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4CB4-4301-418E-B858-570E76BA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аркуша погодження розміщення на веб-порталі Державної казначейської служби України від 08</vt:lpstr>
    </vt:vector>
  </TitlesOfParts>
  <Company>home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аркуша погодження розміщення на веб-порталі Державної казначейської служби України від 08</dc:title>
  <dc:creator>user</dc:creator>
  <cp:lastModifiedBy>2100-Dishliyk</cp:lastModifiedBy>
  <cp:revision>8</cp:revision>
  <cp:lastPrinted>2020-08-17T07:20:00Z</cp:lastPrinted>
  <dcterms:created xsi:type="dcterms:W3CDTF">2017-09-19T08:45:00Z</dcterms:created>
  <dcterms:modified xsi:type="dcterms:W3CDTF">2021-06-18T13:06:00Z</dcterms:modified>
</cp:coreProperties>
</file>