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C4E" w:rsidRPr="00774C4E" w:rsidRDefault="00774C4E" w:rsidP="00416CFC">
      <w:pPr>
        <w:spacing w:after="0" w:line="240" w:lineRule="auto"/>
        <w:ind w:firstLine="4678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74C4E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ПРОЄКТ</w:t>
      </w:r>
    </w:p>
    <w:p w:rsidR="00774C4E" w:rsidRDefault="00774C4E" w:rsidP="00416CFC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B71" w:rsidRDefault="00856783" w:rsidP="003F665C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СХВА</w:t>
      </w:r>
      <w:r w:rsidR="00BE7E1E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ЕНО</w:t>
      </w:r>
    </w:p>
    <w:p w:rsidR="00062BBD" w:rsidRDefault="00856783" w:rsidP="003F665C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62BBD">
        <w:rPr>
          <w:rFonts w:ascii="Times New Roman" w:hAnsi="Times New Roman" w:cs="Times New Roman"/>
          <w:sz w:val="28"/>
          <w:szCs w:val="28"/>
          <w:lang w:val="uk-UA"/>
        </w:rPr>
        <w:t>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колегії</w:t>
      </w:r>
      <w:r w:rsidR="001D274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bookmarkStart w:id="0" w:name="_GoBack"/>
      <w:bookmarkEnd w:id="0"/>
    </w:p>
    <w:p w:rsidR="00856783" w:rsidRDefault="00856783" w:rsidP="003F665C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обласної державної адміністрації</w:t>
      </w:r>
    </w:p>
    <w:p w:rsidR="00062BBD" w:rsidRDefault="00062BBD" w:rsidP="003F665C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_____________ № _________</w:t>
      </w:r>
    </w:p>
    <w:p w:rsidR="00062BBD" w:rsidRPr="00062BBD" w:rsidRDefault="00062BBD" w:rsidP="0041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0B71" w:rsidRPr="00062BBD" w:rsidRDefault="00A97D5F" w:rsidP="00416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ПРОГ</w:t>
      </w:r>
      <w:r w:rsidR="00D70B71" w:rsidRPr="00062BBD">
        <w:rPr>
          <w:rFonts w:ascii="Times New Roman" w:hAnsi="Times New Roman" w:cs="Times New Roman"/>
          <w:b/>
          <w:sz w:val="28"/>
          <w:szCs w:val="28"/>
          <w:lang w:val="uk-UA"/>
        </w:rPr>
        <w:t>РАМА</w:t>
      </w:r>
    </w:p>
    <w:p w:rsidR="00D70B71" w:rsidRDefault="00A97D5F" w:rsidP="00416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67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70B71" w:rsidRPr="001D274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856783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виконання Плану заходів </w:t>
      </w:r>
      <w:r w:rsidR="00D70B71" w:rsidRPr="00856783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стратегії із створення безбар’єрного простору</w:t>
      </w:r>
      <w:r w:rsidR="003F66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B71" w:rsidRPr="00856783">
        <w:rPr>
          <w:rFonts w:ascii="Times New Roman" w:hAnsi="Times New Roman" w:cs="Times New Roman"/>
          <w:sz w:val="28"/>
          <w:szCs w:val="28"/>
          <w:lang w:val="uk-UA"/>
        </w:rPr>
        <w:t>в Херсонській області на 2021 – 2022 роки</w:t>
      </w:r>
    </w:p>
    <w:p w:rsidR="00856783" w:rsidRDefault="00856783" w:rsidP="00416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E7E1E" w:rsidRPr="00BE7E1E" w:rsidRDefault="00BE7E1E" w:rsidP="00BE7E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BE7E1E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266803">
        <w:rPr>
          <w:rFonts w:ascii="Times New Roman" w:hAnsi="Times New Roman"/>
          <w:b/>
          <w:color w:val="000000"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АСПОРТ</w:t>
      </w:r>
      <w:r w:rsidRPr="00282C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4386"/>
        <w:gridCol w:w="4485"/>
      </w:tblGrid>
      <w:tr w:rsidR="00BE7E1E" w:rsidRPr="00BB42A5" w:rsidTr="00790D99">
        <w:trPr>
          <w:trHeight w:val="405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1E" w:rsidRPr="00BB42A5" w:rsidRDefault="00BE7E1E" w:rsidP="00790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B42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4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1E" w:rsidRPr="00BB42A5" w:rsidRDefault="00BE7E1E" w:rsidP="00790D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B42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1E" w:rsidRPr="00A97D5F" w:rsidRDefault="00BE7E1E" w:rsidP="00790D9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A97D5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 </w:t>
            </w:r>
            <w:r w:rsidRPr="00EF0A68">
              <w:rPr>
                <w:rFonts w:ascii="Times New Roman" w:hAnsi="Times New Roman"/>
                <w:sz w:val="28"/>
                <w:szCs w:val="28"/>
                <w:lang w:val="uk-UA"/>
              </w:rPr>
              <w:t>Обласна державна адміністрація</w:t>
            </w:r>
          </w:p>
        </w:tc>
      </w:tr>
      <w:tr w:rsidR="00BE7E1E" w:rsidRPr="00BB42A5" w:rsidTr="00790D99">
        <w:trPr>
          <w:trHeight w:val="109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1E" w:rsidRPr="00BB42A5" w:rsidRDefault="00BE7E1E" w:rsidP="00790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B42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1E" w:rsidRPr="00BB42A5" w:rsidRDefault="00BE7E1E" w:rsidP="00790D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B42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1E" w:rsidRPr="00BB42A5" w:rsidRDefault="00BE7E1E" w:rsidP="00790D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доручення Офісу Президента України від 01 листопада 2021 року № 15/2-01/86 </w:t>
            </w:r>
            <w:r w:rsidRPr="00A97D5F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 </w:t>
            </w:r>
          </w:p>
        </w:tc>
      </w:tr>
      <w:tr w:rsidR="00BE7E1E" w:rsidRPr="00BB42A5" w:rsidTr="00790D99">
        <w:trPr>
          <w:trHeight w:val="486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1E" w:rsidRPr="00BB42A5" w:rsidRDefault="00BE7E1E" w:rsidP="00790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B42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1E" w:rsidRPr="00BB42A5" w:rsidRDefault="00BE7E1E" w:rsidP="00790D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B42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1E" w:rsidRPr="00BB42A5" w:rsidRDefault="00BE7E1E" w:rsidP="00790D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управління містобудування та архітектури обласної державної адміністрації</w:t>
            </w:r>
          </w:p>
        </w:tc>
      </w:tr>
      <w:tr w:rsidR="00BE7E1E" w:rsidRPr="001D2747" w:rsidTr="00790D99">
        <w:trPr>
          <w:trHeight w:val="5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1E" w:rsidRPr="00BB42A5" w:rsidRDefault="00BE7E1E" w:rsidP="00790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B42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1E" w:rsidRPr="00BB42A5" w:rsidRDefault="00BE7E1E" w:rsidP="00790D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BB42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BB42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програми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1E" w:rsidRDefault="00BE7E1E" w:rsidP="00790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Департаменти обласної державної адміністрації: </w:t>
            </w:r>
            <w:r w:rsidRPr="00BB42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соціального розвитку, розвитку територій, фінансів, інфраструктури, здоров’я, реалізації гуманітарної політики, з питань цивільного захисту та оборонної роботи, розвитку економіки;</w:t>
            </w:r>
          </w:p>
          <w:p w:rsidR="00BE7E1E" w:rsidRPr="00BB42A5" w:rsidRDefault="00BE7E1E" w:rsidP="00790D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Управління обласної державної адміністрації: внутрішньої та інформаційної політики, інформаційних технологій, освіти і науки, фізичної культури, молоді та спорту, «Офіс інвестицій та розвитку експорту», Служба у справах дітей обласної державної адміністрації; районні державні адміністрації; органи місцевого самоврядування </w:t>
            </w:r>
          </w:p>
        </w:tc>
      </w:tr>
      <w:tr w:rsidR="00BE7E1E" w:rsidRPr="00BB42A5" w:rsidTr="00790D99">
        <w:trPr>
          <w:trHeight w:val="71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1E" w:rsidRPr="00BB42A5" w:rsidRDefault="00BE7E1E" w:rsidP="00790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B42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1E" w:rsidRPr="00BB42A5" w:rsidRDefault="00BE7E1E" w:rsidP="00790D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B42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Відповідальний виконавець програми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та головний розпорядник коштів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1E" w:rsidRDefault="00BE7E1E" w:rsidP="00790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управління містобудування та архітектури обласної державної адміністрації</w:t>
            </w:r>
            <w:r w:rsidRPr="00BA24A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узагальнює інформацію щодо виконання програми;</w:t>
            </w:r>
          </w:p>
          <w:p w:rsidR="00BE7E1E" w:rsidRPr="00443B07" w:rsidRDefault="00BE7E1E" w:rsidP="00790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B07">
              <w:rPr>
                <w:rFonts w:ascii="Times New Roman" w:hAnsi="Times New Roman"/>
                <w:sz w:val="28"/>
                <w:szCs w:val="28"/>
                <w:lang w:val="uk-UA"/>
              </w:rPr>
              <w:t>виконавці та</w:t>
            </w:r>
          </w:p>
          <w:p w:rsidR="00BE7E1E" w:rsidRPr="00443B07" w:rsidRDefault="00BE7E1E" w:rsidP="00790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43B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головні розпорядники коштів: </w:t>
            </w:r>
          </w:p>
          <w:p w:rsidR="00BE7E1E" w:rsidRDefault="00BE7E1E" w:rsidP="00790D99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774C4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- департамент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реалізації гуманітарної політики обласної державної адміністрації;</w:t>
            </w:r>
          </w:p>
          <w:p w:rsidR="00BE7E1E" w:rsidRDefault="00BE7E1E" w:rsidP="00790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4C4E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департамент соціального розвитку обласної державної адміністрації;</w:t>
            </w:r>
          </w:p>
          <w:p w:rsidR="00BE7E1E" w:rsidRPr="001968E0" w:rsidRDefault="00BE7E1E" w:rsidP="00790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територіальні громади області</w:t>
            </w:r>
          </w:p>
        </w:tc>
      </w:tr>
      <w:tr w:rsidR="00BE7E1E" w:rsidRPr="001D2747" w:rsidTr="00790D99">
        <w:trPr>
          <w:trHeight w:val="348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1E" w:rsidRPr="00BB42A5" w:rsidRDefault="00BE7E1E" w:rsidP="00790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B42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1E" w:rsidRPr="00BB42A5" w:rsidRDefault="00BE7E1E" w:rsidP="00790D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Співвиконавці </w:t>
            </w:r>
            <w:r w:rsidRPr="00BB42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1E" w:rsidRDefault="00BE7E1E" w:rsidP="00790D9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Департаменти обласної державної адміністрації: </w:t>
            </w:r>
            <w:r w:rsidRPr="00BB42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соціального розвитку, розвитку територій, фінансів, інфраструктури, здоров’я, реалізації гуманітарної політики, з питань цивільного захисту та оборонної роботи, розвитку економіки;</w:t>
            </w:r>
          </w:p>
          <w:p w:rsidR="00BE7E1E" w:rsidRPr="00BB42A5" w:rsidRDefault="00BE7E1E" w:rsidP="00790D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Управління обласної державної адміністрації: внутрішньої та інформаційної політики, інформаційних технологій, освіти і науки, фізичної культури, молоді та спорту, «Офіс інвестицій та розвитку експорту», Служба у справах дітей обласної державної адміністрації; районні державні адміністрації; органи місцевого самоврядування; Служба автомобільних доріг у Херсонській області; Головне управління Державної служби з надзвичайних ситуацій у Херсонській області; Філія АТ «НСТК України» «Херсонська регіональна дирекція «СКІФІЯ»; Херсонський регіональний центр підвищення кваліфікації; Міжрегіональний відділ у Херсонській області, АРК 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м.Севастополі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Мінветеранів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; Херсонський обласний центр зайнятості населення; Головне управління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в Херсонській області; Херсонський регіональний центр з фізичної культури і спорту осіб з інвалідністю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Інваспорт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»;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Херсонський регіональний центр оцінювання якості освіти; відокремлений підрозділ ГО «Українська спортивна федерація інвалідів з вадами розумового і фізичного розвитку» в Херсонському регіоні</w:t>
            </w:r>
          </w:p>
        </w:tc>
      </w:tr>
      <w:tr w:rsidR="00BE7E1E" w:rsidRPr="00BB42A5" w:rsidTr="00790D99">
        <w:trPr>
          <w:trHeight w:val="26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1E" w:rsidRPr="00BB42A5" w:rsidRDefault="00BE7E1E" w:rsidP="00790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B42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1E" w:rsidRPr="00BB42A5" w:rsidRDefault="00BE7E1E" w:rsidP="00790D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B42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1E" w:rsidRPr="00BB42A5" w:rsidRDefault="00BE7E1E" w:rsidP="00790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2022 рік</w:t>
            </w:r>
            <w:r w:rsidRPr="00BB42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</w:tr>
      <w:tr w:rsidR="00BE7E1E" w:rsidRPr="00BB42A5" w:rsidTr="00790D99">
        <w:trPr>
          <w:trHeight w:val="764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1E" w:rsidRPr="00BB42A5" w:rsidRDefault="00BE7E1E" w:rsidP="00790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B42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7.1.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1E" w:rsidRPr="00BB42A5" w:rsidRDefault="00BE7E1E" w:rsidP="00790D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B42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Етапи виконання програми</w:t>
            </w:r>
          </w:p>
          <w:p w:rsidR="00BE7E1E" w:rsidRPr="00BB42A5" w:rsidRDefault="00BE7E1E" w:rsidP="00790D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B42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(для довгострокових програм)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1E" w:rsidRPr="00BB42A5" w:rsidRDefault="00BE7E1E" w:rsidP="00790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-</w:t>
            </w:r>
            <w:r w:rsidRPr="00BB42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</w:tr>
      <w:tr w:rsidR="00BE7E1E" w:rsidRPr="00BB42A5" w:rsidTr="00790D99">
        <w:trPr>
          <w:trHeight w:val="65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1E" w:rsidRPr="00BB42A5" w:rsidRDefault="00BE7E1E" w:rsidP="00790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B42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1E" w:rsidRPr="00BB42A5" w:rsidRDefault="00BE7E1E" w:rsidP="00790D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B42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1E" w:rsidRPr="00BB42A5" w:rsidRDefault="00BE7E1E" w:rsidP="00790D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державний бюджет, обласний бюджет, бюджети територіальних громад</w:t>
            </w:r>
            <w:r w:rsidRPr="00BB42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 інші джерела не заборонені законодавством</w:t>
            </w:r>
          </w:p>
        </w:tc>
      </w:tr>
      <w:tr w:rsidR="00BE7E1E" w:rsidRPr="00BB42A5" w:rsidTr="00790D99">
        <w:trPr>
          <w:trHeight w:val="972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1E" w:rsidRPr="00BB42A5" w:rsidRDefault="00BE7E1E" w:rsidP="00790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B42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1E" w:rsidRPr="00FA23D7" w:rsidRDefault="00BE7E1E" w:rsidP="00790D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FA23D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  <w:p w:rsidR="00BE7E1E" w:rsidRPr="00FA23D7" w:rsidRDefault="00BE7E1E" w:rsidP="00790D9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FA23D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 </w:t>
            </w:r>
            <w:r w:rsidRPr="00FA23D7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uk-UA"/>
              </w:rPr>
              <w:t>тому числі за рахунок коштів: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1E" w:rsidRDefault="00BE7E1E" w:rsidP="00790D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BE7E1E" w:rsidRPr="00BB42A5" w:rsidRDefault="00BE7E1E" w:rsidP="00790D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105293,987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  <w:tr w:rsidR="00BE7E1E" w:rsidRPr="00BB42A5" w:rsidTr="00790D99">
        <w:trPr>
          <w:trHeight w:val="330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1E" w:rsidRPr="00BB42A5" w:rsidRDefault="00BE7E1E" w:rsidP="00790D99">
            <w:pPr>
              <w:spacing w:after="0" w:line="234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B42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9.1.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1E" w:rsidRPr="00AD5B13" w:rsidRDefault="00BE7E1E" w:rsidP="00790D99">
            <w:pPr>
              <w:spacing w:after="0" w:line="23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AD5B13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державного бюджету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1E" w:rsidRPr="00BB42A5" w:rsidRDefault="00BE7E1E" w:rsidP="00790D99">
            <w:pPr>
              <w:spacing w:after="0" w:line="234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89500,0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тис.грн</w:t>
            </w:r>
            <w:proofErr w:type="spellEnd"/>
            <w:r w:rsidRPr="00BB42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</w:tr>
      <w:tr w:rsidR="00BE7E1E" w:rsidRPr="00BB42A5" w:rsidTr="00790D99">
        <w:trPr>
          <w:trHeight w:val="300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1E" w:rsidRPr="00BB42A5" w:rsidRDefault="00BE7E1E" w:rsidP="00790D99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1E" w:rsidRPr="00AD5B13" w:rsidRDefault="00BE7E1E" w:rsidP="00790D99">
            <w:pPr>
              <w:spacing w:after="0" w:line="234" w:lineRule="atLeast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AD5B1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обласного бюджету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1E" w:rsidRPr="00443B07" w:rsidRDefault="00BE7E1E" w:rsidP="00790D99">
            <w:pPr>
              <w:spacing w:after="0" w:line="234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10590,0</w:t>
            </w:r>
            <w:r w:rsidRPr="00443B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43B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  <w:tr w:rsidR="00BE7E1E" w:rsidRPr="00BB42A5" w:rsidTr="00790D99">
        <w:trPr>
          <w:trHeight w:val="23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E1E" w:rsidRPr="00BB42A5" w:rsidRDefault="00BE7E1E" w:rsidP="00790D99">
            <w:pPr>
              <w:spacing w:after="0" w:line="234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BB42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1E" w:rsidRPr="00FA23D7" w:rsidRDefault="00BE7E1E" w:rsidP="00790D99">
            <w:pPr>
              <w:spacing w:after="0" w:line="234" w:lineRule="atLeast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A23D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інших місцевих бюджетів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1E" w:rsidRPr="00443B07" w:rsidRDefault="00BE7E1E" w:rsidP="00790D99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443B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4903,987 </w:t>
            </w:r>
            <w:proofErr w:type="spellStart"/>
            <w:r w:rsidRPr="00443B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  <w:tr w:rsidR="00BE7E1E" w:rsidRPr="00BB42A5" w:rsidTr="00790D99">
        <w:trPr>
          <w:trHeight w:val="23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1E" w:rsidRPr="00BB42A5" w:rsidRDefault="00BE7E1E" w:rsidP="00790D99">
            <w:pPr>
              <w:spacing w:after="0" w:line="234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1E" w:rsidRPr="00FA23D7" w:rsidRDefault="00BE7E1E" w:rsidP="00790D99">
            <w:pPr>
              <w:spacing w:after="0" w:line="234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FA23D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інших джерел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E1E" w:rsidRPr="00443B07" w:rsidRDefault="00BE7E1E" w:rsidP="00790D99">
            <w:pPr>
              <w:spacing w:after="0" w:line="234" w:lineRule="atLeast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 w:rsidRPr="00443B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300,0 </w:t>
            </w:r>
            <w:proofErr w:type="spellStart"/>
            <w:r w:rsidRPr="00443B07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</w:tbl>
    <w:p w:rsidR="00BE7E1E" w:rsidRPr="00BB42A5" w:rsidRDefault="00BE7E1E" w:rsidP="00BE7E1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B42A5">
        <w:rPr>
          <w:rFonts w:ascii="Verdana" w:hAnsi="Verdana"/>
          <w:color w:val="000000"/>
          <w:sz w:val="16"/>
          <w:szCs w:val="16"/>
          <w:lang w:val="uk-UA"/>
        </w:rPr>
        <w:t> </w:t>
      </w:r>
    </w:p>
    <w:p w:rsidR="00D70B71" w:rsidRPr="00266803" w:rsidRDefault="00D70B71" w:rsidP="00416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0B71" w:rsidRDefault="00BE7E1E" w:rsidP="00416C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2BBD" w:rsidRPr="00062BB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2BBD" w:rsidRPr="00062BBD">
        <w:rPr>
          <w:rFonts w:ascii="Times New Roman" w:hAnsi="Times New Roman" w:cs="Times New Roman"/>
          <w:b/>
          <w:sz w:val="28"/>
          <w:szCs w:val="28"/>
          <w:lang w:val="uk-UA"/>
        </w:rPr>
        <w:t>. Визначення проблеми, на розв’язання якої спрямована програма</w:t>
      </w:r>
    </w:p>
    <w:p w:rsidR="00286781" w:rsidRPr="000F7AD2" w:rsidRDefault="00F160CF" w:rsidP="0041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0C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B5F66" w:rsidRPr="000F7AD2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D44FC8">
        <w:rPr>
          <w:rFonts w:ascii="Times New Roman" w:hAnsi="Times New Roman" w:cs="Times New Roman"/>
          <w:sz w:val="28"/>
          <w:szCs w:val="28"/>
          <w:lang w:val="uk-UA"/>
        </w:rPr>
        <w:t xml:space="preserve">сучасному українському </w:t>
      </w:r>
      <w:r w:rsidR="002B5F66" w:rsidRPr="000F7AD2">
        <w:rPr>
          <w:rFonts w:ascii="Times New Roman" w:hAnsi="Times New Roman" w:cs="Times New Roman"/>
          <w:sz w:val="28"/>
          <w:szCs w:val="28"/>
          <w:lang w:val="uk-UA"/>
        </w:rPr>
        <w:t xml:space="preserve">суспільстві існує комплекс викликів, пов’язаний із наявністю проблем для різних маломобільних груп населення стосовно можливості повноцінного, безбар’єрного доступу до освіти, зайнятості, отримання </w:t>
      </w:r>
      <w:r w:rsidR="00450682">
        <w:rPr>
          <w:rFonts w:ascii="Times New Roman" w:hAnsi="Times New Roman" w:cs="Times New Roman"/>
          <w:sz w:val="28"/>
          <w:szCs w:val="28"/>
          <w:lang w:val="uk-UA"/>
        </w:rPr>
        <w:t xml:space="preserve">соціальних, </w:t>
      </w:r>
      <w:r w:rsidR="00BB5B70" w:rsidRPr="000F7AD2">
        <w:rPr>
          <w:rFonts w:ascii="Times New Roman" w:hAnsi="Times New Roman" w:cs="Times New Roman"/>
          <w:sz w:val="28"/>
          <w:szCs w:val="28"/>
          <w:lang w:val="uk-UA"/>
        </w:rPr>
        <w:t xml:space="preserve">медичних та </w:t>
      </w:r>
      <w:r w:rsidR="002B5F66" w:rsidRPr="000F7AD2">
        <w:rPr>
          <w:rFonts w:ascii="Times New Roman" w:hAnsi="Times New Roman" w:cs="Times New Roman"/>
          <w:sz w:val="28"/>
          <w:szCs w:val="28"/>
          <w:lang w:val="uk-UA"/>
        </w:rPr>
        <w:t>адміністративних послуг</w:t>
      </w:r>
      <w:r w:rsidR="00E12A05" w:rsidRPr="000F7A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B5F66" w:rsidRPr="000F7AD2">
        <w:rPr>
          <w:rFonts w:ascii="Times New Roman" w:hAnsi="Times New Roman" w:cs="Times New Roman"/>
          <w:sz w:val="28"/>
          <w:szCs w:val="28"/>
          <w:lang w:val="uk-UA"/>
        </w:rPr>
        <w:t>Актуальними залишаються</w:t>
      </w:r>
      <w:r w:rsidR="00BB5B70" w:rsidRPr="000F7AD2">
        <w:rPr>
          <w:rFonts w:ascii="Times New Roman" w:hAnsi="Times New Roman" w:cs="Times New Roman"/>
          <w:sz w:val="28"/>
          <w:szCs w:val="28"/>
          <w:lang w:val="uk-UA"/>
        </w:rPr>
        <w:t xml:space="preserve"> питання формування безперешкодного життєвого середовища в публічному просторі</w:t>
      </w:r>
      <w:r w:rsidR="00286781" w:rsidRPr="000F7A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B5B70" w:rsidRPr="000F7A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6781" w:rsidRPr="000F7AD2">
        <w:rPr>
          <w:rFonts w:ascii="Times New Roman" w:hAnsi="Times New Roman" w:cs="Times New Roman"/>
          <w:sz w:val="28"/>
          <w:szCs w:val="28"/>
          <w:lang w:val="uk-UA"/>
        </w:rPr>
        <w:t>доступність транспортної, вуличної та соціальної інфраструктур. Родини з дітьми до 6 років мають аналогічні проблеми стосовно доступної інфраструктури. Для осіб старшого віку характерними є потреби у працевлаштуванні, освіті впродовж життя з метою працевлаштування та саморозвитку.</w:t>
      </w:r>
    </w:p>
    <w:p w:rsidR="00286781" w:rsidRPr="000F7AD2" w:rsidRDefault="00134EE5" w:rsidP="0041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AD2">
        <w:rPr>
          <w:rFonts w:ascii="Times New Roman" w:hAnsi="Times New Roman" w:cs="Times New Roman"/>
          <w:sz w:val="28"/>
          <w:szCs w:val="28"/>
          <w:lang w:val="uk-UA"/>
        </w:rPr>
        <w:t>Таким чином, н</w:t>
      </w:r>
      <w:r w:rsidR="00BB5B70" w:rsidRPr="000F7AD2">
        <w:rPr>
          <w:rFonts w:ascii="Times New Roman" w:hAnsi="Times New Roman" w:cs="Times New Roman"/>
          <w:sz w:val="28"/>
          <w:szCs w:val="28"/>
          <w:lang w:val="uk-UA"/>
        </w:rPr>
        <w:t xml:space="preserve">апрями </w:t>
      </w:r>
      <w:r w:rsidR="00266803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</w:t>
      </w:r>
      <w:r w:rsidR="00BB5B70" w:rsidRPr="000F7AD2">
        <w:rPr>
          <w:rFonts w:ascii="Times New Roman" w:hAnsi="Times New Roman" w:cs="Times New Roman"/>
          <w:sz w:val="28"/>
          <w:szCs w:val="28"/>
          <w:lang w:val="uk-UA"/>
        </w:rPr>
        <w:t xml:space="preserve">політики щодо інклюзії та безбар’єрності </w:t>
      </w:r>
      <w:r w:rsidR="008F4DA0" w:rsidRPr="000F7AD2">
        <w:rPr>
          <w:rFonts w:ascii="Times New Roman" w:hAnsi="Times New Roman" w:cs="Times New Roman"/>
          <w:sz w:val="28"/>
          <w:szCs w:val="28"/>
          <w:lang w:val="uk-UA"/>
        </w:rPr>
        <w:t xml:space="preserve">включають </w:t>
      </w:r>
      <w:r w:rsidR="00BB5B70" w:rsidRPr="000F7AD2">
        <w:rPr>
          <w:rFonts w:ascii="Times New Roman" w:hAnsi="Times New Roman" w:cs="Times New Roman"/>
          <w:sz w:val="28"/>
          <w:szCs w:val="28"/>
          <w:lang w:val="uk-UA"/>
        </w:rPr>
        <w:t>цільов</w:t>
      </w:r>
      <w:r w:rsidR="008F4DA0" w:rsidRPr="000F7AD2">
        <w:rPr>
          <w:rFonts w:ascii="Times New Roman" w:hAnsi="Times New Roman" w:cs="Times New Roman"/>
          <w:sz w:val="28"/>
          <w:szCs w:val="28"/>
          <w:lang w:val="uk-UA"/>
        </w:rPr>
        <w:t xml:space="preserve">і групи </w:t>
      </w:r>
      <w:r w:rsidR="00BB5B70" w:rsidRPr="000F7AD2">
        <w:rPr>
          <w:rFonts w:ascii="Times New Roman" w:hAnsi="Times New Roman" w:cs="Times New Roman"/>
          <w:sz w:val="28"/>
          <w:szCs w:val="28"/>
          <w:lang w:val="uk-UA"/>
        </w:rPr>
        <w:t xml:space="preserve">не тільки осіб з функціональними порушеннями працездатності та </w:t>
      </w:r>
      <w:r w:rsidR="00465522">
        <w:rPr>
          <w:rFonts w:ascii="Times New Roman" w:hAnsi="Times New Roman" w:cs="Times New Roman"/>
          <w:sz w:val="28"/>
          <w:szCs w:val="28"/>
          <w:lang w:val="uk-UA"/>
        </w:rPr>
        <w:t>інвалідністю, а й людей похилого</w:t>
      </w:r>
      <w:r w:rsidR="00BB5B70" w:rsidRPr="000F7AD2">
        <w:rPr>
          <w:rFonts w:ascii="Times New Roman" w:hAnsi="Times New Roman" w:cs="Times New Roman"/>
          <w:sz w:val="28"/>
          <w:szCs w:val="28"/>
          <w:lang w:val="uk-UA"/>
        </w:rPr>
        <w:t xml:space="preserve"> віку, </w:t>
      </w:r>
      <w:r w:rsidR="004A4577">
        <w:rPr>
          <w:rFonts w:ascii="Times New Roman" w:hAnsi="Times New Roman" w:cs="Times New Roman"/>
          <w:sz w:val="28"/>
          <w:szCs w:val="28"/>
          <w:lang w:val="uk-UA"/>
        </w:rPr>
        <w:t>батьків малолітніх дітей і дітей з інвалідніс</w:t>
      </w:r>
      <w:r w:rsidR="009F704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A457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B5B70" w:rsidRPr="000F7AD2">
        <w:rPr>
          <w:rFonts w:ascii="Times New Roman" w:hAnsi="Times New Roman" w:cs="Times New Roman"/>
          <w:sz w:val="28"/>
          <w:szCs w:val="28"/>
          <w:lang w:val="uk-UA"/>
        </w:rPr>
        <w:t>, дітей, що залишилися без бать</w:t>
      </w:r>
      <w:r w:rsidR="001406F0" w:rsidRPr="000F7AD2">
        <w:rPr>
          <w:rFonts w:ascii="Times New Roman" w:hAnsi="Times New Roman" w:cs="Times New Roman"/>
          <w:sz w:val="28"/>
          <w:szCs w:val="28"/>
          <w:lang w:val="uk-UA"/>
        </w:rPr>
        <w:t xml:space="preserve">ківського піклування, </w:t>
      </w:r>
      <w:r w:rsidR="0076395E" w:rsidRPr="000F7AD2">
        <w:rPr>
          <w:rFonts w:ascii="Times New Roman" w:hAnsi="Times New Roman" w:cs="Times New Roman"/>
          <w:sz w:val="28"/>
          <w:szCs w:val="28"/>
          <w:lang w:val="uk-UA"/>
        </w:rPr>
        <w:t>молодь</w:t>
      </w:r>
      <w:r w:rsidRPr="000F7A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B5B70" w:rsidRPr="000F7AD2">
        <w:rPr>
          <w:rFonts w:ascii="Times New Roman" w:hAnsi="Times New Roman" w:cs="Times New Roman"/>
          <w:sz w:val="28"/>
          <w:szCs w:val="28"/>
          <w:lang w:val="uk-UA"/>
        </w:rPr>
        <w:t xml:space="preserve"> Це створює ширші можливості для залучення різних груп громадян до соціальних процесів.</w:t>
      </w:r>
    </w:p>
    <w:p w:rsidR="00EB5380" w:rsidRPr="000F7AD2" w:rsidRDefault="00E12A05" w:rsidP="0041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AD2">
        <w:rPr>
          <w:rFonts w:ascii="Times New Roman" w:hAnsi="Times New Roman" w:cs="Times New Roman"/>
          <w:sz w:val="28"/>
          <w:szCs w:val="28"/>
          <w:lang w:val="uk-UA"/>
        </w:rPr>
        <w:t xml:space="preserve"> Складовою у цьому процесі також є забезпечення політики протидії дискримінації меншин, досягнення реальної рівності представників різних груп у різних сферах суспільно-політичного, економічного життя.</w:t>
      </w:r>
    </w:p>
    <w:p w:rsidR="008F4DA0" w:rsidRPr="000F7AD2" w:rsidRDefault="00556B61" w:rsidP="0041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AD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Слабка інклюзивність системи охорони здоров’я, освіти, соціального захисту, інфраструктури, технологій та ринку праці негативно впливає на об’єктивні показники </w:t>
      </w:r>
      <w:r w:rsidR="00603184" w:rsidRPr="000F7AD2">
        <w:rPr>
          <w:rFonts w:ascii="Times New Roman" w:hAnsi="Times New Roman" w:cs="Times New Roman"/>
          <w:sz w:val="28"/>
          <w:szCs w:val="28"/>
          <w:lang w:val="uk-UA"/>
        </w:rPr>
        <w:t xml:space="preserve">рейтингів області та </w:t>
      </w:r>
      <w:r w:rsidRPr="000F7AD2">
        <w:rPr>
          <w:rFonts w:ascii="Times New Roman" w:hAnsi="Times New Roman" w:cs="Times New Roman"/>
          <w:sz w:val="28"/>
          <w:szCs w:val="28"/>
          <w:lang w:val="uk-UA"/>
        </w:rPr>
        <w:t>держави</w:t>
      </w:r>
      <w:r w:rsidR="00603184" w:rsidRPr="000F7AD2">
        <w:rPr>
          <w:rFonts w:ascii="Times New Roman" w:hAnsi="Times New Roman" w:cs="Times New Roman"/>
          <w:sz w:val="28"/>
          <w:szCs w:val="28"/>
          <w:lang w:val="uk-UA"/>
        </w:rPr>
        <w:t xml:space="preserve"> в цілому.</w:t>
      </w:r>
    </w:p>
    <w:p w:rsidR="00941889" w:rsidRDefault="00F34E04" w:rsidP="0041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AD2">
        <w:rPr>
          <w:rFonts w:ascii="Times New Roman" w:hAnsi="Times New Roman" w:cs="Times New Roman"/>
          <w:sz w:val="28"/>
          <w:szCs w:val="28"/>
          <w:lang w:val="uk-UA"/>
        </w:rPr>
        <w:t>І навпаки, ефективні заходи</w:t>
      </w:r>
      <w:r w:rsidR="00EB5380" w:rsidRPr="000F7AD2">
        <w:rPr>
          <w:rFonts w:ascii="Times New Roman" w:hAnsi="Times New Roman" w:cs="Times New Roman"/>
          <w:sz w:val="28"/>
          <w:szCs w:val="28"/>
          <w:lang w:val="uk-UA"/>
        </w:rPr>
        <w:t xml:space="preserve"> щодо усунення бар’єрів для повноцінної участі громадян у економічному та соціальному житті своїх громад, їх соціальна інклюзія не лише захищає їхні фундаментальні права та поліпшує їх комфортне проживання й самопочуття, а й знижує загальну суспільну напругу та приско</w:t>
      </w:r>
      <w:r w:rsidRPr="000F7AD2">
        <w:rPr>
          <w:rFonts w:ascii="Times New Roman" w:hAnsi="Times New Roman" w:cs="Times New Roman"/>
          <w:sz w:val="28"/>
          <w:szCs w:val="28"/>
          <w:lang w:val="uk-UA"/>
        </w:rPr>
        <w:t>рює економічний розвиток регіону.</w:t>
      </w:r>
    </w:p>
    <w:p w:rsidR="006B2512" w:rsidRPr="000F7AD2" w:rsidRDefault="006B2512" w:rsidP="0041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Перша леді України Олена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Зеленська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стала ініціатором розроблення стратегії зі створення безбар’єрного простору в Україні.</w:t>
      </w:r>
    </w:p>
    <w:p w:rsidR="00266803" w:rsidRDefault="000F7AD2" w:rsidP="0041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7A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74A10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Pr="000F7AD2">
        <w:rPr>
          <w:rFonts w:ascii="Times New Roman" w:hAnsi="Times New Roman" w:cs="Times New Roman"/>
          <w:sz w:val="28"/>
          <w:szCs w:val="28"/>
          <w:lang w:val="uk-UA"/>
        </w:rPr>
        <w:t>Указ</w:t>
      </w:r>
      <w:r w:rsidR="00574A10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 від 03 грудня 2020 року </w:t>
      </w:r>
      <w:r w:rsidR="00574A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№ 533/2020 </w:t>
      </w:r>
      <w:r w:rsidR="00574A10">
        <w:rPr>
          <w:rFonts w:ascii="Times New Roman" w:hAnsi="Times New Roman" w:cs="Times New Roman"/>
          <w:sz w:val="28"/>
          <w:szCs w:val="28"/>
          <w:lang w:val="uk-UA"/>
        </w:rPr>
        <w:t xml:space="preserve">«Про забезпечення створення безбар’єрного простору в Україні» </w:t>
      </w:r>
      <w:r w:rsidR="00266803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розпорядженням </w:t>
      </w:r>
      <w:r w:rsidR="00574A10">
        <w:rPr>
          <w:rFonts w:ascii="Times New Roman" w:hAnsi="Times New Roman" w:cs="Times New Roman"/>
          <w:sz w:val="28"/>
          <w:szCs w:val="28"/>
          <w:lang w:val="uk-UA"/>
        </w:rPr>
        <w:t>Кабінет</w:t>
      </w:r>
      <w:r w:rsidR="0026680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74A10">
        <w:rPr>
          <w:rFonts w:ascii="Times New Roman" w:hAnsi="Times New Roman" w:cs="Times New Roman"/>
          <w:sz w:val="28"/>
          <w:szCs w:val="28"/>
          <w:lang w:val="uk-UA"/>
        </w:rPr>
        <w:t xml:space="preserve"> Міністрів України </w:t>
      </w:r>
      <w:r w:rsidR="00266803">
        <w:rPr>
          <w:rFonts w:ascii="Times New Roman" w:hAnsi="Times New Roman" w:cs="Times New Roman"/>
          <w:sz w:val="28"/>
          <w:szCs w:val="28"/>
          <w:lang w:val="uk-UA"/>
        </w:rPr>
        <w:t>від 14 квітня 2021 року № 366-р схвалено Національну стратегію із створення безбар’єрного простору в Україні на період до 2030 року</w:t>
      </w:r>
      <w:r w:rsidR="00005314">
        <w:rPr>
          <w:rFonts w:ascii="Times New Roman" w:hAnsi="Times New Roman" w:cs="Times New Roman"/>
          <w:sz w:val="28"/>
          <w:szCs w:val="28"/>
          <w:lang w:val="uk-UA"/>
        </w:rPr>
        <w:t xml:space="preserve"> (далі – Національна стратегія)</w:t>
      </w:r>
      <w:r w:rsidR="00266803"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="00F80751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спрямована на поширення практик інклюзії, недискримінації, упровадження принципів доступності та універсального дизайну для забезпечення рівних можливостей для всіх суспільних груп населення, зокрема осіб з інвалідністю, літніх людей, молоді, жінок, а також батьків малолітніх дітей і дітей з інвалідністю.</w:t>
      </w:r>
    </w:p>
    <w:p w:rsidR="008B5789" w:rsidRDefault="008B5789" w:rsidP="0041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263B">
        <w:rPr>
          <w:rFonts w:ascii="Times New Roman" w:hAnsi="Times New Roman" w:cs="Times New Roman"/>
          <w:sz w:val="28"/>
          <w:szCs w:val="28"/>
          <w:lang w:val="uk-UA"/>
        </w:rPr>
        <w:t>Розпорядженням Кабінету Міністрів України від 04 серпня 2021 року № 883-р затверджено П</w:t>
      </w:r>
      <w:r w:rsidR="002C263B" w:rsidRPr="002C263B">
        <w:rPr>
          <w:rFonts w:ascii="Times New Roman" w:hAnsi="Times New Roman" w:cs="Times New Roman"/>
          <w:sz w:val="28"/>
          <w:szCs w:val="28"/>
          <w:lang w:val="uk-UA"/>
        </w:rPr>
        <w:t>лан заходів на 2021 і 2022 роки з реалізації Національної стратегії із створення безбар’єрного простору в Україні на період до 2030 року</w:t>
      </w:r>
      <w:r w:rsidR="002C263B">
        <w:rPr>
          <w:rFonts w:ascii="Times New Roman" w:hAnsi="Times New Roman" w:cs="Times New Roman"/>
          <w:sz w:val="28"/>
          <w:szCs w:val="28"/>
          <w:lang w:val="uk-UA"/>
        </w:rPr>
        <w:t xml:space="preserve"> (далі– План заходів).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2512" w:rsidRDefault="002C263B" w:rsidP="0041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забезпечення виконання Плану заходів р</w:t>
      </w:r>
      <w:r w:rsidR="006B2512">
        <w:rPr>
          <w:rFonts w:ascii="Times New Roman" w:hAnsi="Times New Roman" w:cs="Times New Roman"/>
          <w:sz w:val="28"/>
          <w:szCs w:val="28"/>
          <w:lang w:val="uk-UA"/>
        </w:rPr>
        <w:t>озпорядженням голови обласної державної адміністрації від 25 жовтня 2021 року № 820 затверджено План заходів з реалізації Національної стратегії із створення безбар’єрного простору в Херсонській області на 2021-2022 роки.</w:t>
      </w:r>
    </w:p>
    <w:p w:rsidR="00EB5380" w:rsidRDefault="00450682" w:rsidP="0041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Розроблення обласної програми надає можливість фінансового забезпечення виконання Плану заходів</w:t>
      </w:r>
      <w:r w:rsidR="00E16BF6" w:rsidRPr="00E16B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BF6">
        <w:rPr>
          <w:rFonts w:ascii="Times New Roman" w:hAnsi="Times New Roman" w:cs="Times New Roman"/>
          <w:sz w:val="28"/>
          <w:szCs w:val="28"/>
          <w:lang w:val="uk-UA"/>
        </w:rPr>
        <w:t>з реалізації Національної стратегії із створення безбар’єрного простору в Херсонській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9B4">
        <w:rPr>
          <w:rFonts w:ascii="Times New Roman" w:hAnsi="Times New Roman" w:cs="Times New Roman"/>
          <w:sz w:val="28"/>
          <w:szCs w:val="28"/>
          <w:lang w:val="uk-UA"/>
        </w:rPr>
        <w:t>на всіх адміністративних рівнях.</w:t>
      </w:r>
    </w:p>
    <w:p w:rsidR="00013FE1" w:rsidRPr="00574A10" w:rsidRDefault="00013FE1" w:rsidP="0041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5380" w:rsidRDefault="00BE7E1E" w:rsidP="00416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920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92004">
        <w:rPr>
          <w:rFonts w:ascii="Times New Roman" w:hAnsi="Times New Roman" w:cs="Times New Roman"/>
          <w:b/>
          <w:sz w:val="28"/>
          <w:szCs w:val="28"/>
          <w:lang w:val="uk-UA"/>
        </w:rPr>
        <w:t>. Визначення мети програми</w:t>
      </w:r>
    </w:p>
    <w:p w:rsidR="00307A7D" w:rsidRPr="008B5789" w:rsidRDefault="00307A7D" w:rsidP="00416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92004" w:rsidRPr="00F3618F" w:rsidRDefault="00792004" w:rsidP="0041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2004">
        <w:rPr>
          <w:rFonts w:ascii="Times New Roman" w:hAnsi="Times New Roman" w:cs="Times New Roman"/>
          <w:sz w:val="28"/>
          <w:szCs w:val="28"/>
          <w:lang w:val="uk-UA"/>
        </w:rPr>
        <w:tab/>
        <w:t>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715D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рограми є створення в області безбар’єрного простору в різних сферах життя</w:t>
      </w:r>
      <w:r w:rsidR="00E911DE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осіб з інвалідністю, </w:t>
      </w:r>
      <w:r w:rsidR="00A07747">
        <w:rPr>
          <w:rFonts w:ascii="Times New Roman" w:hAnsi="Times New Roman" w:cs="Times New Roman"/>
          <w:sz w:val="28"/>
          <w:szCs w:val="28"/>
          <w:lang w:val="uk-UA"/>
        </w:rPr>
        <w:t>людей похилого</w:t>
      </w:r>
      <w:r w:rsidR="00A07747" w:rsidRPr="000F7AD2">
        <w:rPr>
          <w:rFonts w:ascii="Times New Roman" w:hAnsi="Times New Roman" w:cs="Times New Roman"/>
          <w:sz w:val="28"/>
          <w:szCs w:val="28"/>
          <w:lang w:val="uk-UA"/>
        </w:rPr>
        <w:t xml:space="preserve"> віку, </w:t>
      </w:r>
      <w:r w:rsidR="007E5C4B">
        <w:rPr>
          <w:rFonts w:ascii="Times New Roman" w:hAnsi="Times New Roman" w:cs="Times New Roman"/>
          <w:sz w:val="28"/>
          <w:szCs w:val="28"/>
          <w:lang w:val="uk-UA"/>
        </w:rPr>
        <w:t xml:space="preserve">батьків малолітніх дітей і дітей </w:t>
      </w:r>
      <w:r w:rsidR="006F3167" w:rsidRPr="00F3618F">
        <w:rPr>
          <w:rFonts w:ascii="Times New Roman" w:hAnsi="Times New Roman" w:cs="Times New Roman"/>
          <w:sz w:val="28"/>
          <w:szCs w:val="28"/>
          <w:lang w:val="uk-UA"/>
        </w:rPr>
        <w:t>з інвалідністю</w:t>
      </w:r>
      <w:r w:rsidR="00A07747" w:rsidRPr="00F3618F">
        <w:rPr>
          <w:rFonts w:ascii="Times New Roman" w:hAnsi="Times New Roman" w:cs="Times New Roman"/>
          <w:sz w:val="28"/>
          <w:szCs w:val="28"/>
          <w:lang w:val="uk-UA"/>
        </w:rPr>
        <w:t xml:space="preserve">, дітей, що залишилися без батьківського піклування, </w:t>
      </w:r>
      <w:r w:rsidR="00E911DE" w:rsidRPr="00F3618F">
        <w:rPr>
          <w:rFonts w:ascii="Times New Roman" w:hAnsi="Times New Roman" w:cs="Times New Roman"/>
          <w:sz w:val="28"/>
          <w:szCs w:val="28"/>
          <w:lang w:val="uk-UA"/>
        </w:rPr>
        <w:t>молоді</w:t>
      </w:r>
      <w:r w:rsidR="00F3618F" w:rsidRPr="00F3618F">
        <w:rPr>
          <w:rFonts w:ascii="Times New Roman" w:hAnsi="Times New Roman" w:cs="Times New Roman"/>
          <w:sz w:val="28"/>
          <w:szCs w:val="28"/>
          <w:lang w:val="uk-UA"/>
        </w:rPr>
        <w:t xml:space="preserve"> та інші за </w:t>
      </w:r>
      <w:r w:rsidR="00F3618F">
        <w:rPr>
          <w:rFonts w:ascii="Times New Roman" w:hAnsi="Times New Roman" w:cs="Times New Roman"/>
          <w:sz w:val="28"/>
          <w:szCs w:val="28"/>
          <w:lang w:val="uk-UA"/>
        </w:rPr>
        <w:t>напрямами,</w:t>
      </w:r>
      <w:r w:rsidR="00F3618F" w:rsidRPr="000053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618F">
        <w:rPr>
          <w:rFonts w:ascii="Times New Roman" w:hAnsi="Times New Roman" w:cs="Times New Roman"/>
          <w:sz w:val="28"/>
          <w:szCs w:val="28"/>
          <w:lang w:val="uk-UA"/>
        </w:rPr>
        <w:t xml:space="preserve">визначеними Національною стратегією, а саме: </w:t>
      </w:r>
      <w:r w:rsidR="00B573DA" w:rsidRPr="00307A7D">
        <w:rPr>
          <w:rFonts w:ascii="Times New Roman" w:hAnsi="Times New Roman" w:cs="Times New Roman"/>
          <w:sz w:val="28"/>
          <w:szCs w:val="28"/>
          <w:lang w:val="uk-UA"/>
        </w:rPr>
        <w:t>фізична безбар’єрність</w:t>
      </w:r>
      <w:r w:rsidR="00B573DA">
        <w:rPr>
          <w:rFonts w:ascii="Times New Roman" w:hAnsi="Times New Roman" w:cs="Times New Roman"/>
          <w:sz w:val="28"/>
          <w:szCs w:val="28"/>
          <w:lang w:val="uk-UA"/>
        </w:rPr>
        <w:t>, інформацій</w:t>
      </w:r>
      <w:r w:rsidR="00F3618F" w:rsidRPr="00F3618F">
        <w:rPr>
          <w:rFonts w:ascii="Times New Roman" w:hAnsi="Times New Roman" w:cs="Times New Roman"/>
          <w:sz w:val="28"/>
          <w:szCs w:val="28"/>
          <w:lang w:val="uk-UA"/>
        </w:rPr>
        <w:t>на безбар’єрність</w:t>
      </w:r>
      <w:r w:rsidR="00F361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573DA" w:rsidRPr="00307A7D">
        <w:rPr>
          <w:rFonts w:ascii="Times New Roman" w:hAnsi="Times New Roman" w:cs="Times New Roman"/>
          <w:sz w:val="28"/>
          <w:szCs w:val="28"/>
          <w:lang w:val="uk-UA"/>
        </w:rPr>
        <w:t>цифрова безбар’єрність</w:t>
      </w:r>
      <w:r w:rsidR="00B573DA">
        <w:rPr>
          <w:rFonts w:ascii="Times New Roman" w:hAnsi="Times New Roman" w:cs="Times New Roman"/>
          <w:sz w:val="28"/>
          <w:szCs w:val="28"/>
          <w:lang w:val="uk-UA"/>
        </w:rPr>
        <w:t xml:space="preserve">, суспільна та </w:t>
      </w:r>
      <w:r w:rsidR="00B573DA" w:rsidRPr="00E03574">
        <w:rPr>
          <w:rFonts w:ascii="Times New Roman" w:hAnsi="Times New Roman" w:cs="Times New Roman"/>
          <w:sz w:val="28"/>
          <w:szCs w:val="28"/>
          <w:lang w:val="uk-UA"/>
        </w:rPr>
        <w:t>громадянська безбар’єрність</w:t>
      </w:r>
      <w:r w:rsidR="00B573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573DA" w:rsidRPr="00F361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618F" w:rsidRPr="00F3618F">
        <w:rPr>
          <w:rFonts w:ascii="Times New Roman" w:hAnsi="Times New Roman" w:cs="Times New Roman"/>
          <w:sz w:val="28"/>
          <w:szCs w:val="28"/>
          <w:lang w:val="uk-UA"/>
        </w:rPr>
        <w:t>освітня безбар’єрність</w:t>
      </w:r>
      <w:r w:rsidR="00F3618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3618F" w:rsidRPr="00F3618F">
        <w:rPr>
          <w:rFonts w:ascii="Times New Roman" w:hAnsi="Times New Roman" w:cs="Times New Roman"/>
          <w:sz w:val="28"/>
          <w:szCs w:val="28"/>
          <w:lang w:val="uk-UA"/>
        </w:rPr>
        <w:t>економічна безбар’єрність</w:t>
      </w:r>
      <w:r w:rsidR="00F361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D1768" w:rsidRDefault="00E323BD" w:rsidP="00BE7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23BD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прав і задоволення потреб </w:t>
      </w:r>
      <w:r>
        <w:rPr>
          <w:rFonts w:ascii="Times New Roman" w:hAnsi="Times New Roman" w:cs="Times New Roman"/>
          <w:sz w:val="28"/>
          <w:szCs w:val="28"/>
          <w:lang w:val="uk-UA"/>
        </w:rPr>
        <w:t>всіх цільових груп населення</w:t>
      </w:r>
      <w:r w:rsidRPr="00E323BD">
        <w:rPr>
          <w:rFonts w:ascii="Times New Roman" w:hAnsi="Times New Roman" w:cs="Times New Roman"/>
          <w:sz w:val="28"/>
          <w:szCs w:val="28"/>
          <w:lang w:val="uk-UA"/>
        </w:rPr>
        <w:t xml:space="preserve"> нарівні з іншими громадянами, поліпшення умов</w:t>
      </w:r>
      <w:r w:rsidR="003D17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1768" w:rsidRPr="00E323BD">
        <w:rPr>
          <w:rFonts w:ascii="Times New Roman" w:hAnsi="Times New Roman" w:cs="Times New Roman"/>
          <w:sz w:val="28"/>
          <w:szCs w:val="28"/>
          <w:lang w:val="uk-UA"/>
        </w:rPr>
        <w:t>їх життєдіяльності</w:t>
      </w:r>
      <w:r w:rsidR="003D176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Конвенції про права осіб з інвалідністю, ратифікованою Законом України              16 грудня 2009 року.</w:t>
      </w:r>
    </w:p>
    <w:p w:rsidR="00BE7E1E" w:rsidRDefault="00BE7E1E" w:rsidP="00BE7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5380" w:rsidRPr="00B54155" w:rsidRDefault="001F7353" w:rsidP="00416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E7E1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Обґрунтування шляхів і засобів розв’язання проблем, </w:t>
      </w:r>
      <w:r w:rsidRPr="00B54155">
        <w:rPr>
          <w:rFonts w:ascii="Times New Roman" w:hAnsi="Times New Roman" w:cs="Times New Roman"/>
          <w:b/>
          <w:sz w:val="28"/>
          <w:szCs w:val="28"/>
          <w:lang w:val="uk-UA"/>
        </w:rPr>
        <w:t>обсягів</w:t>
      </w:r>
    </w:p>
    <w:p w:rsidR="00EB5380" w:rsidRDefault="001F7353" w:rsidP="00416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4155">
        <w:rPr>
          <w:rFonts w:ascii="Times New Roman" w:hAnsi="Times New Roman" w:cs="Times New Roman"/>
          <w:b/>
          <w:sz w:val="28"/>
          <w:szCs w:val="28"/>
          <w:lang w:val="uk-UA"/>
        </w:rPr>
        <w:t>та джерел фінансування;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строки та етапи виконання програми</w:t>
      </w:r>
    </w:p>
    <w:p w:rsidR="00307A7D" w:rsidRPr="00307A7D" w:rsidRDefault="00307A7D" w:rsidP="00416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7A7D" w:rsidRPr="00EC7371" w:rsidRDefault="00307A7D" w:rsidP="0041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3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Вирішення існуючих проблем та виконання мети </w:t>
      </w:r>
      <w:r w:rsidR="009D715D" w:rsidRPr="00EC737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EC7371">
        <w:rPr>
          <w:rFonts w:ascii="Times New Roman" w:hAnsi="Times New Roman" w:cs="Times New Roman"/>
          <w:sz w:val="28"/>
          <w:szCs w:val="28"/>
          <w:lang w:val="uk-UA"/>
        </w:rPr>
        <w:t xml:space="preserve">рограми передбачається шляхом </w:t>
      </w:r>
      <w:r w:rsidR="00005314" w:rsidRPr="00EC7371">
        <w:rPr>
          <w:rFonts w:ascii="Times New Roman" w:hAnsi="Times New Roman" w:cs="Times New Roman"/>
          <w:sz w:val="28"/>
          <w:szCs w:val="28"/>
          <w:lang w:val="uk-UA"/>
        </w:rPr>
        <w:t>забезпечення реалізації</w:t>
      </w:r>
      <w:r w:rsidRPr="00EC7371">
        <w:rPr>
          <w:rFonts w:ascii="Times New Roman" w:hAnsi="Times New Roman" w:cs="Times New Roman"/>
          <w:sz w:val="28"/>
          <w:szCs w:val="28"/>
          <w:lang w:val="uk-UA"/>
        </w:rPr>
        <w:t xml:space="preserve"> заходів</w:t>
      </w:r>
      <w:r w:rsidR="00005314" w:rsidRPr="00EC7371">
        <w:rPr>
          <w:rFonts w:ascii="Times New Roman" w:hAnsi="Times New Roman" w:cs="Times New Roman"/>
          <w:sz w:val="28"/>
          <w:szCs w:val="28"/>
          <w:lang w:val="uk-UA"/>
        </w:rPr>
        <w:t xml:space="preserve"> зі створення безбар’єрного середовища</w:t>
      </w:r>
      <w:r w:rsidRPr="00EC7371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005314" w:rsidRPr="00EC73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7371">
        <w:rPr>
          <w:rFonts w:ascii="Times New Roman" w:hAnsi="Times New Roman" w:cs="Times New Roman"/>
          <w:sz w:val="28"/>
          <w:szCs w:val="28"/>
          <w:lang w:val="uk-UA"/>
        </w:rPr>
        <w:t xml:space="preserve"> напрямами</w:t>
      </w:r>
      <w:r w:rsidR="00005314" w:rsidRPr="00EC7371">
        <w:rPr>
          <w:rFonts w:ascii="Times New Roman" w:hAnsi="Times New Roman" w:cs="Times New Roman"/>
          <w:sz w:val="28"/>
          <w:szCs w:val="28"/>
          <w:lang w:val="uk-UA"/>
        </w:rPr>
        <w:t>, визначеними Національною стратегією</w:t>
      </w:r>
      <w:r w:rsidRPr="00EC737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25748" w:rsidRPr="00EC7371" w:rsidRDefault="00425748" w:rsidP="00BE7E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371">
        <w:rPr>
          <w:rFonts w:ascii="Times New Roman" w:hAnsi="Times New Roman" w:cs="Times New Roman"/>
          <w:sz w:val="28"/>
          <w:szCs w:val="28"/>
          <w:lang w:val="uk-UA"/>
        </w:rPr>
        <w:t>1) фізична безбар’єрність – забезпечення доступності громадського простору, будівель і споруд, а також транспортної інфраструктури для всіх суспільних груп, у тому числі для людей з інвалідністю, батьків із дитячими візочками, людей похилого віку, людей із тимчасовим порушенням здоров’я та інших маломобільних груп населення.</w:t>
      </w:r>
    </w:p>
    <w:p w:rsidR="00D15B83" w:rsidRPr="00EC7371" w:rsidRDefault="00C27EDB" w:rsidP="00EC7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371">
        <w:rPr>
          <w:rFonts w:ascii="Times New Roman" w:hAnsi="Times New Roman" w:cs="Times New Roman"/>
          <w:sz w:val="28"/>
          <w:szCs w:val="28"/>
          <w:lang w:val="uk-UA"/>
        </w:rPr>
        <w:t xml:space="preserve">2) інформаційна безбар’єрність </w:t>
      </w:r>
      <w:r w:rsidR="00D15B83" w:rsidRPr="00EC737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C73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5B83" w:rsidRPr="00EC7371">
        <w:rPr>
          <w:rFonts w:ascii="Times New Roman" w:hAnsi="Times New Roman" w:cs="Times New Roman"/>
          <w:sz w:val="28"/>
          <w:szCs w:val="28"/>
          <w:lang w:val="uk-UA"/>
        </w:rPr>
        <w:t>забезпечення доступності</w:t>
      </w:r>
      <w:r w:rsidR="00042537" w:rsidRPr="00EC73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2537" w:rsidRPr="00EC7371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інформації та комунікації в ході отримання публічних послуг, інформації, яка необхідна для участі у культурному житті, проведенні дозвілля і відпочинку, заняття спортом, інформації від суб’єктів владних повноважень для всіх груп населення</w:t>
      </w:r>
    </w:p>
    <w:p w:rsidR="00425748" w:rsidRPr="00EC7371" w:rsidRDefault="00425748" w:rsidP="00425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371">
        <w:rPr>
          <w:rFonts w:ascii="Times New Roman" w:hAnsi="Times New Roman" w:cs="Times New Roman"/>
          <w:sz w:val="28"/>
          <w:szCs w:val="28"/>
          <w:lang w:val="uk-UA"/>
        </w:rPr>
        <w:t xml:space="preserve">3) цифрова безбар’єрність – забезпечення доступу до публічних та інших послуг онлайн для всіх суспільних груп, включаючи літніх людей, людей з інвалідністю, людей, які проживають у сільській місцевості; </w:t>
      </w:r>
    </w:p>
    <w:p w:rsidR="00425748" w:rsidRPr="00EC7371" w:rsidRDefault="00425748" w:rsidP="004257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371">
        <w:rPr>
          <w:rFonts w:ascii="Times New Roman" w:hAnsi="Times New Roman" w:cs="Times New Roman"/>
          <w:sz w:val="28"/>
          <w:szCs w:val="28"/>
          <w:lang w:val="uk-UA"/>
        </w:rPr>
        <w:t xml:space="preserve">4) суспільна та громадянська безбар’єрність – забезпечення рівного представництва у державних та місцевих органах влади, доступ до процесів прийняття рішень на громадському та політичному рівнях для всіх суспільних груп, у тому числі тих, що зазнають дискримінації та виключення; сприяння рівній участі громадян чоловічої і жіночої статі в політичних процесах та функціонуванні політичних інститутів; </w:t>
      </w:r>
    </w:p>
    <w:p w:rsidR="00307A7D" w:rsidRPr="00EC7371" w:rsidRDefault="00307A7D" w:rsidP="0041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3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737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71973" w:rsidRPr="00EC737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EC7371">
        <w:rPr>
          <w:rFonts w:ascii="Times New Roman" w:hAnsi="Times New Roman" w:cs="Times New Roman"/>
          <w:sz w:val="28"/>
          <w:szCs w:val="28"/>
          <w:lang w:val="uk-UA"/>
        </w:rPr>
        <w:t>) освітня безбар’єрність – створення рівних можливостей і вільного доступу до освіти, включаючи освіту протягом життя, перенавчання та опанування додатковими навичками;</w:t>
      </w:r>
    </w:p>
    <w:p w:rsidR="00307A7D" w:rsidRPr="00EC7371" w:rsidRDefault="00671973" w:rsidP="0041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37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07A7D" w:rsidRPr="00EC7371">
        <w:rPr>
          <w:rFonts w:ascii="Times New Roman" w:hAnsi="Times New Roman" w:cs="Times New Roman"/>
          <w:sz w:val="28"/>
          <w:szCs w:val="28"/>
          <w:lang w:val="uk-UA"/>
        </w:rPr>
        <w:t>) економічна безбар’єрність – забезпечення умов та можливостей для працевлаштування, отримання фінансових та інших ресурсів для заняття підприємництвом для таких суспільних груп, як молодь, жінки, л</w:t>
      </w:r>
      <w:r w:rsidR="00425748" w:rsidRPr="00EC7371">
        <w:rPr>
          <w:rFonts w:ascii="Times New Roman" w:hAnsi="Times New Roman" w:cs="Times New Roman"/>
          <w:sz w:val="28"/>
          <w:szCs w:val="28"/>
          <w:lang w:val="uk-UA"/>
        </w:rPr>
        <w:t>ітні люди, люди з інвалідністю.</w:t>
      </w:r>
    </w:p>
    <w:p w:rsidR="00307A7D" w:rsidRPr="00EC7371" w:rsidRDefault="00B54155" w:rsidP="0041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371">
        <w:rPr>
          <w:rFonts w:ascii="Times New Roman" w:hAnsi="Times New Roman" w:cs="Times New Roman"/>
          <w:sz w:val="28"/>
          <w:szCs w:val="28"/>
          <w:lang w:val="uk-UA"/>
        </w:rPr>
        <w:t>Обсяги фінансування заходів Програми визначені у додатку 1 до Програми.</w:t>
      </w:r>
      <w:r w:rsidR="00307A7D" w:rsidRPr="00EC73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A7D" w:rsidRPr="00EC7371" w:rsidRDefault="00B54155" w:rsidP="0041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7371">
        <w:rPr>
          <w:rFonts w:ascii="Times New Roman" w:hAnsi="Times New Roman" w:cs="Times New Roman"/>
          <w:sz w:val="28"/>
          <w:szCs w:val="28"/>
          <w:lang w:val="uk-UA"/>
        </w:rPr>
        <w:t>Виконання Програми</w:t>
      </w:r>
      <w:r w:rsidR="00307A7D" w:rsidRPr="00EC73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7371">
        <w:rPr>
          <w:rFonts w:ascii="Times New Roman" w:hAnsi="Times New Roman" w:cs="Times New Roman"/>
          <w:sz w:val="28"/>
          <w:szCs w:val="28"/>
          <w:lang w:val="uk-UA"/>
        </w:rPr>
        <w:t>буде здійснюватися протягом 2022 року в один етап.</w:t>
      </w:r>
    </w:p>
    <w:p w:rsidR="00774C4E" w:rsidRPr="00574A10" w:rsidRDefault="00774C4E" w:rsidP="00BE7E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5380" w:rsidRDefault="00E03574" w:rsidP="00416C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Перелік завдань і заходів програми та результативні показники</w:t>
      </w:r>
    </w:p>
    <w:p w:rsidR="003F0C60" w:rsidRPr="0070290D" w:rsidRDefault="00C57446" w:rsidP="00416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90D">
        <w:rPr>
          <w:rFonts w:ascii="Times New Roman" w:hAnsi="Times New Roman" w:cs="Times New Roman"/>
          <w:sz w:val="28"/>
          <w:szCs w:val="28"/>
          <w:lang w:val="uk-UA"/>
        </w:rPr>
        <w:t>У Програмі визначаються загальні принципи, головні напрями й основний зміст перспективних заходів щодо створення безбар’єрного простору для всіх суспільних груп.</w:t>
      </w:r>
    </w:p>
    <w:p w:rsidR="00FF0E45" w:rsidRDefault="00C57446" w:rsidP="00416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290D">
        <w:rPr>
          <w:rFonts w:ascii="Times New Roman" w:hAnsi="Times New Roman" w:cs="Times New Roman"/>
          <w:sz w:val="28"/>
          <w:szCs w:val="28"/>
          <w:lang w:val="uk-UA"/>
        </w:rPr>
        <w:t xml:space="preserve">Програма окреслює пріоритетні напрями діяльності державних структур та інститутів громадянського суспільства, визначає орієнтири для всіх, хто займається створенням безбар’єрного простору в області. </w:t>
      </w:r>
    </w:p>
    <w:p w:rsidR="00EF0A68" w:rsidRDefault="00EF0A68" w:rsidP="00416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15D9" w:rsidRPr="00CA5BD6" w:rsidRDefault="00BE15D9" w:rsidP="0041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8F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напрямом „Фізична безбар’єрність” </w:t>
      </w:r>
      <w:r w:rsidRPr="00CA5BD6">
        <w:rPr>
          <w:rFonts w:ascii="Times New Roman" w:hAnsi="Times New Roman" w:cs="Times New Roman"/>
          <w:sz w:val="28"/>
          <w:szCs w:val="28"/>
          <w:lang w:val="uk-UA"/>
        </w:rPr>
        <w:t xml:space="preserve">планується: </w:t>
      </w:r>
    </w:p>
    <w:p w:rsidR="00BE15D9" w:rsidRPr="00CA5BD6" w:rsidRDefault="00BE15D9" w:rsidP="00416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A5BD6">
        <w:rPr>
          <w:rFonts w:ascii="Times New Roman" w:hAnsi="Times New Roman"/>
          <w:sz w:val="28"/>
          <w:szCs w:val="28"/>
          <w:lang w:val="uk-UA"/>
        </w:rPr>
        <w:t>1) забезпечення проведення за участю громадських організацій щорічного моніторингу та оцінки ступеня безбар’єрності об’єктів фізичного оточення і послуг для осіб з інвалідністю та інших маломобільних груп населення з урахуванням гендерного аспекту</w:t>
      </w:r>
      <w:r w:rsidR="00D40B8C">
        <w:rPr>
          <w:rFonts w:ascii="Times New Roman" w:hAnsi="Times New Roman"/>
          <w:sz w:val="28"/>
          <w:szCs w:val="28"/>
          <w:lang w:val="uk-UA"/>
        </w:rPr>
        <w:t>;</w:t>
      </w:r>
    </w:p>
    <w:p w:rsidR="00BE15D9" w:rsidRPr="00BE15D9" w:rsidRDefault="00BE15D9" w:rsidP="00416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15D9">
        <w:rPr>
          <w:rFonts w:ascii="Times New Roman" w:hAnsi="Times New Roman" w:cs="Times New Roman"/>
          <w:sz w:val="28"/>
          <w:szCs w:val="28"/>
          <w:lang w:val="uk-UA"/>
        </w:rPr>
        <w:t xml:space="preserve">2) забезпечення доступності осіб з інвалідністю та інших маломобільних груп населення до громадського автотранспорту, вуличної мережі, автовокзалів, облаштування місць паркування на платних стоянках області відповідно до вимог безбар’єрності; </w:t>
      </w:r>
    </w:p>
    <w:p w:rsidR="00BE15D9" w:rsidRDefault="00893870" w:rsidP="00416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93870">
        <w:rPr>
          <w:rFonts w:ascii="Times New Roman" w:hAnsi="Times New Roman"/>
          <w:sz w:val="28"/>
          <w:szCs w:val="28"/>
          <w:lang w:val="uk-UA"/>
        </w:rPr>
        <w:t>3) покращення умов для перевезення школярів, зокрема дітей, які пересуваються у кріслах колісних шляхом придбання на умовах співфінансування з місцевих бюджетів шкільних автобусів, пристосованих для перевезення дітей, які пересуваються у кріслах колісних</w:t>
      </w:r>
      <w:r w:rsidR="00FD7D33">
        <w:rPr>
          <w:rFonts w:ascii="Times New Roman" w:hAnsi="Times New Roman"/>
          <w:sz w:val="28"/>
          <w:szCs w:val="28"/>
          <w:lang w:val="uk-UA"/>
        </w:rPr>
        <w:t>;</w:t>
      </w:r>
    </w:p>
    <w:p w:rsidR="00FD7D33" w:rsidRDefault="00FD7D33" w:rsidP="00416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D7D33">
        <w:rPr>
          <w:rFonts w:ascii="Times New Roman" w:hAnsi="Times New Roman"/>
          <w:sz w:val="28"/>
          <w:szCs w:val="28"/>
          <w:lang w:val="uk-UA"/>
        </w:rPr>
        <w:t>4) забезпечення збільшення частки транспортних засобів загального користування, пристосованих для користування осіб з інвалідністю та інших маломобільних груп населення)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FD7D33" w:rsidRDefault="00FD7D33" w:rsidP="00416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D7D33">
        <w:rPr>
          <w:rFonts w:ascii="Times New Roman" w:hAnsi="Times New Roman"/>
          <w:sz w:val="28"/>
          <w:szCs w:val="28"/>
          <w:lang w:val="uk-UA"/>
        </w:rPr>
        <w:t xml:space="preserve">5) пристосування головних входів до будівель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FD7D33">
        <w:rPr>
          <w:rFonts w:ascii="Times New Roman" w:hAnsi="Times New Roman"/>
          <w:sz w:val="28"/>
          <w:szCs w:val="28"/>
          <w:lang w:val="uk-UA"/>
        </w:rPr>
        <w:t>бласної та районних державних адміністрацій</w:t>
      </w:r>
      <w:r>
        <w:rPr>
          <w:rFonts w:ascii="Times New Roman" w:hAnsi="Times New Roman"/>
          <w:sz w:val="28"/>
          <w:szCs w:val="28"/>
          <w:lang w:val="uk-UA"/>
        </w:rPr>
        <w:t>, їх структурних підрозділів</w:t>
      </w:r>
      <w:r w:rsidRPr="00FD7D33">
        <w:rPr>
          <w:rFonts w:ascii="Times New Roman" w:hAnsi="Times New Roman"/>
          <w:sz w:val="28"/>
          <w:szCs w:val="28"/>
          <w:lang w:val="uk-UA"/>
        </w:rPr>
        <w:t>, а також до адміністративних будівель територіальних громад для використання особами з інвалідністю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40B8C" w:rsidRDefault="00FD7D33" w:rsidP="00416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D7D33">
        <w:rPr>
          <w:rFonts w:ascii="Times New Roman" w:hAnsi="Times New Roman"/>
          <w:sz w:val="28"/>
          <w:szCs w:val="28"/>
          <w:lang w:val="uk-UA"/>
        </w:rPr>
        <w:t>6) забезпечення дотримання принципів безбар’єрності на об’єктах, що будуються відповідно до проєктів «Велике будівництво», «Велика реконструкція», «25 спортивних магнітів», «Активні парки – локації здорової України»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972B7A" w:rsidRPr="008028F9" w:rsidRDefault="00972B7A" w:rsidP="0041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8F9">
        <w:rPr>
          <w:rFonts w:ascii="Times New Roman" w:hAnsi="Times New Roman" w:cs="Times New Roman"/>
          <w:sz w:val="28"/>
          <w:szCs w:val="28"/>
          <w:lang w:val="uk-UA"/>
        </w:rPr>
        <w:t xml:space="preserve">За напрямом „Інформаційна безбар’єрність” планується: </w:t>
      </w:r>
    </w:p>
    <w:p w:rsidR="00972B7A" w:rsidRPr="008028F9" w:rsidRDefault="00972B7A" w:rsidP="00416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8F9">
        <w:rPr>
          <w:rFonts w:ascii="Times New Roman" w:hAnsi="Times New Roman" w:cs="Times New Roman"/>
          <w:sz w:val="28"/>
          <w:szCs w:val="28"/>
          <w:lang w:val="uk-UA"/>
        </w:rPr>
        <w:t xml:space="preserve">1) проведення </w:t>
      </w:r>
      <w:r w:rsidRPr="008028F9">
        <w:rPr>
          <w:rFonts w:ascii="Times New Roman" w:hAnsi="Times New Roman"/>
          <w:sz w:val="28"/>
          <w:szCs w:val="28"/>
          <w:lang w:val="uk-UA"/>
        </w:rPr>
        <w:t xml:space="preserve">циклів вебінарів </w:t>
      </w:r>
      <w:r w:rsidRPr="008028F9">
        <w:rPr>
          <w:rFonts w:ascii="Times New Roman" w:hAnsi="Times New Roman" w:cs="Times New Roman"/>
          <w:sz w:val="28"/>
          <w:szCs w:val="28"/>
          <w:lang w:val="uk-UA"/>
        </w:rPr>
        <w:t xml:space="preserve">для представників органів виконавчої влади, органів місцевого самоврядування та представників інститутів громадянського суспільства, а також широких груп населення щодо безбар’єрного простору з метою залучення громадян до процесу формування політики, їх реального впливу на прийняття рішень на місцевому рівні; </w:t>
      </w:r>
    </w:p>
    <w:p w:rsidR="00D40B8C" w:rsidRPr="008028F9" w:rsidRDefault="007A615D" w:rsidP="00416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28F9">
        <w:rPr>
          <w:rFonts w:ascii="Times New Roman" w:hAnsi="Times New Roman"/>
          <w:sz w:val="28"/>
          <w:szCs w:val="28"/>
          <w:lang w:val="uk-UA"/>
        </w:rPr>
        <w:t>2) сприяння підвищенню рівня поінформованості населення, осіб похилого віку, осіб з інвалідністю про захист їх прав та забезпечення відповідними соціальними послугами через засоби масової інформації області та веб-сайти обласної та районних державних адміністрацій, сільських, селищних та міських рад;</w:t>
      </w:r>
    </w:p>
    <w:p w:rsidR="00BB41E8" w:rsidRDefault="00BB41E8" w:rsidP="00416C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8028F9">
        <w:rPr>
          <w:rFonts w:ascii="Times New Roman" w:hAnsi="Times New Roman" w:cs="Times New Roman"/>
          <w:sz w:val="28"/>
          <w:szCs w:val="28"/>
          <w:lang w:val="uk-UA"/>
        </w:rPr>
        <w:t xml:space="preserve">За напрямом „Цифрова безбар’єрність” </w:t>
      </w:r>
      <w:r w:rsidRPr="0099790E">
        <w:rPr>
          <w:rFonts w:ascii="Times New Roman" w:hAnsi="Times New Roman" w:cs="Times New Roman"/>
          <w:sz w:val="28"/>
          <w:szCs w:val="28"/>
          <w:lang w:val="uk-UA"/>
        </w:rPr>
        <w:t>планується</w:t>
      </w:r>
      <w:r w:rsidRPr="00C57446">
        <w:rPr>
          <w:rFonts w:ascii="Times New Roman" w:hAnsi="Times New Roman" w:cs="Times New Roman"/>
          <w:color w:val="FF0000"/>
          <w:sz w:val="28"/>
          <w:szCs w:val="28"/>
          <w:lang w:val="uk-UA"/>
        </w:rPr>
        <w:t>:</w:t>
      </w:r>
    </w:p>
    <w:p w:rsidR="00D749A8" w:rsidRPr="00D749A8" w:rsidRDefault="00D749A8" w:rsidP="00416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D749A8">
        <w:rPr>
          <w:rFonts w:ascii="Times New Roman" w:hAnsi="Times New Roman"/>
          <w:sz w:val="28"/>
          <w:szCs w:val="28"/>
          <w:lang w:val="uk-UA"/>
        </w:rPr>
        <w:t xml:space="preserve">1) здійснення заходів щодо </w:t>
      </w:r>
      <w:r w:rsidRPr="00D749A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забезпечення доступності виклику екстрених служб (112) та роботи телефонів довіри, “гарячих ліній” з урахуванням комунікаційних потреб та можливостей осіб з порушеннями слуху, зору, мовлення та осіб з порушенням інтелектуального розвитку</w:t>
      </w:r>
      <w:r w:rsidR="00D40B8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;</w:t>
      </w:r>
    </w:p>
    <w:p w:rsidR="008056CD" w:rsidRDefault="008056CD" w:rsidP="00416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056CD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8056CD">
        <w:rPr>
          <w:rFonts w:ascii="Times New Roman" w:hAnsi="Times New Roman"/>
          <w:sz w:val="28"/>
          <w:szCs w:val="28"/>
          <w:lang w:val="uk-UA"/>
        </w:rPr>
        <w:t xml:space="preserve">забезпечення підключення домогосподарств у сільській місцевості до широкосмугового доступу до Інтернету за рахунок проведення оптичних мереж надвисокої пропускної здатності не менше, ніж у 60 населених пунктів області, які не мали фіксованого </w:t>
      </w:r>
      <w:r w:rsidRPr="008056CD">
        <w:rPr>
          <w:rFonts w:ascii="Times New Roman" w:hAnsi="Times New Roman"/>
          <w:sz w:val="28"/>
          <w:szCs w:val="28"/>
          <w:lang w:val="uk-UA" w:eastAsia="uk-UA"/>
        </w:rPr>
        <w:t>широкосмугового доступу до Інтернету</w:t>
      </w:r>
      <w:r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8056CD" w:rsidRPr="008056CD" w:rsidRDefault="008056CD" w:rsidP="00416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056CD">
        <w:rPr>
          <w:rFonts w:ascii="Times New Roman" w:hAnsi="Times New Roman"/>
          <w:sz w:val="28"/>
          <w:szCs w:val="28"/>
          <w:lang w:val="uk-UA"/>
        </w:rPr>
        <w:lastRenderedPageBreak/>
        <w:t>3) з</w:t>
      </w:r>
      <w:r>
        <w:rPr>
          <w:rFonts w:ascii="Times New Roman" w:hAnsi="Times New Roman"/>
          <w:sz w:val="28"/>
          <w:szCs w:val="28"/>
          <w:lang w:val="uk-UA"/>
        </w:rPr>
        <w:t>абезпечення</w:t>
      </w:r>
      <w:r w:rsidRPr="008056CD">
        <w:rPr>
          <w:rFonts w:ascii="Times New Roman" w:hAnsi="Times New Roman"/>
          <w:sz w:val="28"/>
          <w:szCs w:val="28"/>
          <w:lang w:val="uk-UA"/>
        </w:rPr>
        <w:t xml:space="preserve"> підключення до фіксованого широкосмугового доступу до Інтернету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56CD">
        <w:rPr>
          <w:rFonts w:ascii="Times New Roman" w:hAnsi="Times New Roman"/>
          <w:sz w:val="28"/>
          <w:szCs w:val="28"/>
          <w:lang w:val="uk-UA"/>
        </w:rPr>
        <w:t>не менше, ніж 250 закладів соціальної інфраструктури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8056C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збільшення</w:t>
      </w:r>
      <w:r w:rsidRPr="008056CD">
        <w:rPr>
          <w:rFonts w:ascii="Times New Roman" w:hAnsi="Times New Roman"/>
          <w:sz w:val="28"/>
          <w:szCs w:val="28"/>
          <w:lang w:val="uk-UA"/>
        </w:rPr>
        <w:t xml:space="preserve"> ч</w:t>
      </w:r>
      <w:r>
        <w:rPr>
          <w:rFonts w:ascii="Times New Roman" w:hAnsi="Times New Roman"/>
          <w:sz w:val="28"/>
          <w:szCs w:val="28"/>
          <w:lang w:val="uk-UA"/>
        </w:rPr>
        <w:t>астки</w:t>
      </w:r>
      <w:r w:rsidRPr="008056CD">
        <w:rPr>
          <w:rFonts w:ascii="Times New Roman" w:hAnsi="Times New Roman"/>
          <w:sz w:val="28"/>
          <w:szCs w:val="28"/>
          <w:lang w:val="uk-UA"/>
        </w:rPr>
        <w:t xml:space="preserve"> забезпечення доступом до Інтернету із швидкістю не менше 100 Мбіт/с для 60 відсотків бібліотек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40B8C" w:rsidRPr="00774C4E" w:rsidRDefault="0007299B" w:rsidP="00416C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07299B">
        <w:rPr>
          <w:rFonts w:ascii="Times New Roman" w:hAnsi="Times New Roman"/>
          <w:sz w:val="28"/>
          <w:szCs w:val="28"/>
          <w:lang w:val="uk-UA"/>
        </w:rPr>
        <w:t xml:space="preserve">4) забезпечення не менше однієї публічної бібліотеки в адміністративному центрі кожної територіальної громади власним вебсайтом або сторінкою в соціальних мережах, які адаптовані до доступу для </w:t>
      </w:r>
      <w:r w:rsidRPr="0007299B">
        <w:rPr>
          <w:rFonts w:ascii="Times New Roman" w:hAnsi="Times New Roman"/>
          <w:sz w:val="28"/>
          <w:szCs w:val="28"/>
          <w:lang w:val="uk-UA" w:eastAsia="uk-UA"/>
        </w:rPr>
        <w:t>осіб з інвалідністю</w:t>
      </w:r>
      <w:r w:rsidR="00D40B8C">
        <w:rPr>
          <w:rFonts w:ascii="Times New Roman" w:hAnsi="Times New Roman"/>
          <w:sz w:val="28"/>
          <w:szCs w:val="28"/>
          <w:lang w:val="uk-UA" w:eastAsia="uk-UA"/>
        </w:rPr>
        <w:t>;</w:t>
      </w:r>
    </w:p>
    <w:p w:rsidR="004C701E" w:rsidRDefault="00BB41E8" w:rsidP="0041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446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7E0D72" w:rsidRPr="008028F9">
        <w:rPr>
          <w:rFonts w:ascii="Times New Roman" w:hAnsi="Times New Roman" w:cs="Times New Roman"/>
          <w:sz w:val="28"/>
          <w:szCs w:val="28"/>
          <w:lang w:val="uk-UA"/>
        </w:rPr>
        <w:t xml:space="preserve">За напрямом „Суспільна та </w:t>
      </w:r>
      <w:r w:rsidR="004C701E" w:rsidRPr="008028F9">
        <w:rPr>
          <w:rFonts w:ascii="Times New Roman" w:hAnsi="Times New Roman" w:cs="Times New Roman"/>
          <w:sz w:val="28"/>
          <w:szCs w:val="28"/>
          <w:lang w:val="uk-UA"/>
        </w:rPr>
        <w:t xml:space="preserve">громадянська безбар’єрність” </w:t>
      </w:r>
      <w:r w:rsidR="004C701E" w:rsidRPr="004001C1">
        <w:rPr>
          <w:rFonts w:ascii="Times New Roman" w:hAnsi="Times New Roman" w:cs="Times New Roman"/>
          <w:sz w:val="28"/>
          <w:szCs w:val="28"/>
          <w:lang w:val="uk-UA"/>
        </w:rPr>
        <w:t xml:space="preserve">планується: </w:t>
      </w:r>
    </w:p>
    <w:p w:rsidR="004C701E" w:rsidRDefault="004C701E" w:rsidP="0041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забезпечення реалізації Рамкової Угоди між Урядом України та Урядом Турецької республіки про співробітництво у сфері будівництва житла для представників кримськотатарського народу та пільгових категорій громадян України у кількості 200 квартир в місті Херсоні;</w:t>
      </w:r>
    </w:p>
    <w:p w:rsidR="004C701E" w:rsidRDefault="004C701E" w:rsidP="0041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задоволення потреби постраждалих учасників Революції Гідності, ветеранів війни та членів сімей загиблих (померлих) таких осіб в послугах із психологічної реабілітації та санаторно-курортного лікування шляхом запровадження механізму координації діяльності суб’єктів надання таких послуг;</w:t>
      </w:r>
    </w:p>
    <w:p w:rsidR="004C701E" w:rsidRDefault="00D40B8C" w:rsidP="00416CFC">
      <w:pPr>
        <w:pStyle w:val="a4"/>
        <w:tabs>
          <w:tab w:val="left" w:pos="244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C701E">
        <w:rPr>
          <w:rFonts w:ascii="Times New Roman" w:hAnsi="Times New Roman"/>
          <w:sz w:val="28"/>
          <w:szCs w:val="28"/>
        </w:rPr>
        <w:t>3) з</w:t>
      </w:r>
      <w:r w:rsidR="004C701E" w:rsidRPr="00C758E7">
        <w:rPr>
          <w:rFonts w:ascii="Times New Roman" w:hAnsi="Times New Roman"/>
          <w:sz w:val="28"/>
          <w:szCs w:val="28"/>
        </w:rPr>
        <w:t>абезпечення у повному обсязі осіб з інвалідністю, дітей з інвалідністю технічними та іншими засобами реабілітації, реабілітаційними послугами, санаторно-курортним оздоровленням</w:t>
      </w:r>
      <w:r w:rsidR="004C701E">
        <w:rPr>
          <w:rFonts w:ascii="Times New Roman" w:hAnsi="Times New Roman"/>
          <w:sz w:val="28"/>
          <w:szCs w:val="28"/>
        </w:rPr>
        <w:t>;</w:t>
      </w:r>
    </w:p>
    <w:p w:rsidR="004C701E" w:rsidRDefault="00D40B8C" w:rsidP="00416CFC">
      <w:pPr>
        <w:pStyle w:val="a4"/>
        <w:tabs>
          <w:tab w:val="left" w:pos="244"/>
        </w:tabs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C701E">
        <w:rPr>
          <w:rFonts w:ascii="Times New Roman" w:hAnsi="Times New Roman"/>
          <w:sz w:val="28"/>
          <w:szCs w:val="28"/>
        </w:rPr>
        <w:t>4) з</w:t>
      </w:r>
      <w:r w:rsidR="004C701E" w:rsidRPr="00C758E7">
        <w:rPr>
          <w:rFonts w:ascii="Times New Roman" w:hAnsi="Times New Roman"/>
          <w:sz w:val="28"/>
          <w:szCs w:val="28"/>
        </w:rPr>
        <w:t>дійснення розвитку системи фізкультурно-спортивної реабілітації серед ветеранів війни та визначення державного стандарту надання послуг</w:t>
      </w:r>
      <w:r w:rsidR="004C701E">
        <w:rPr>
          <w:rFonts w:ascii="Times New Roman" w:hAnsi="Times New Roman"/>
          <w:sz w:val="28"/>
          <w:szCs w:val="28"/>
        </w:rPr>
        <w:t>;</w:t>
      </w:r>
    </w:p>
    <w:p w:rsidR="00D40B8C" w:rsidRPr="00D40B8C" w:rsidRDefault="00D40B8C" w:rsidP="00416CFC">
      <w:pPr>
        <w:pStyle w:val="a4"/>
        <w:tabs>
          <w:tab w:val="left" w:pos="244"/>
        </w:tabs>
        <w:spacing w:before="0"/>
        <w:ind w:firstLine="0"/>
        <w:jc w:val="both"/>
        <w:rPr>
          <w:rFonts w:ascii="Times New Roman" w:eastAsia="Calibri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C701E" w:rsidRPr="00C758E7">
        <w:rPr>
          <w:rFonts w:ascii="Times New Roman" w:hAnsi="Times New Roman"/>
          <w:sz w:val="28"/>
          <w:szCs w:val="28"/>
        </w:rPr>
        <w:t>5) з</w:t>
      </w:r>
      <w:r w:rsidR="004C701E" w:rsidRPr="00C758E7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абезпечення функціонування закладів фізичної культури та спорту для всіх верств населення, у тому числі </w:t>
      </w:r>
      <w:r w:rsidR="004C701E" w:rsidRPr="00C758E7">
        <w:rPr>
          <w:rFonts w:ascii="Times New Roman" w:eastAsia="Calibri" w:hAnsi="Times New Roman"/>
          <w:sz w:val="28"/>
          <w:szCs w:val="28"/>
          <w:shd w:val="clear" w:color="auto" w:fill="FFFFFF"/>
        </w:rPr>
        <w:t>проведення заходів з фізичної культури і спорту осіб з інвалідністю та інших маломобільних груп населення та фізкультурно-спортивної реабілітації</w:t>
      </w:r>
      <w:r w:rsidR="004C701E">
        <w:rPr>
          <w:rFonts w:ascii="Times New Roman" w:eastAsia="Calibri" w:hAnsi="Times New Roman"/>
          <w:sz w:val="28"/>
          <w:szCs w:val="28"/>
          <w:shd w:val="clear" w:color="auto" w:fill="FFFFFF"/>
        </w:rPr>
        <w:t>;</w:t>
      </w:r>
    </w:p>
    <w:p w:rsidR="00A56AD7" w:rsidRPr="008028F9" w:rsidRDefault="00A56AD7" w:rsidP="0041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8F9">
        <w:rPr>
          <w:rFonts w:ascii="Times New Roman" w:hAnsi="Times New Roman" w:cs="Times New Roman"/>
          <w:sz w:val="28"/>
          <w:szCs w:val="28"/>
          <w:lang w:val="uk-UA"/>
        </w:rPr>
        <w:t xml:space="preserve">За напрямом „Освітня безбар’єрність” планується: </w:t>
      </w:r>
    </w:p>
    <w:p w:rsidR="00F66DCA" w:rsidRPr="00154215" w:rsidRDefault="00154215" w:rsidP="00416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 xml:space="preserve">1) </w:t>
      </w:r>
      <w:r w:rsidR="00F66DCA" w:rsidRPr="00154215">
        <w:rPr>
          <w:rFonts w:ascii="Times New Roman" w:eastAsia="Calibri" w:hAnsi="Times New Roman"/>
          <w:sz w:val="28"/>
          <w:szCs w:val="28"/>
          <w:lang w:val="uk-UA"/>
        </w:rPr>
        <w:t>проведення широкої просвітницької кампанії щодо популяризації у суспільстві культури створення безбар’єрного простору</w:t>
      </w:r>
      <w:r w:rsidR="00F1445C">
        <w:rPr>
          <w:rFonts w:ascii="Times New Roman" w:eastAsia="Calibri" w:hAnsi="Times New Roman"/>
          <w:sz w:val="28"/>
          <w:szCs w:val="28"/>
          <w:lang w:val="uk-UA"/>
        </w:rPr>
        <w:t>;</w:t>
      </w:r>
    </w:p>
    <w:p w:rsidR="00F66DCA" w:rsidRPr="00F1445C" w:rsidRDefault="00154215" w:rsidP="00416C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571F">
        <w:rPr>
          <w:rFonts w:ascii="Times New Roman" w:eastAsia="Arial" w:hAnsi="Times New Roman"/>
          <w:sz w:val="28"/>
          <w:szCs w:val="28"/>
          <w:lang w:val="uk-UA"/>
        </w:rPr>
        <w:t>з</w:t>
      </w:r>
      <w:r w:rsidR="00F66DCA" w:rsidRPr="008E571F">
        <w:rPr>
          <w:rFonts w:ascii="Times New Roman" w:eastAsia="Arial" w:hAnsi="Times New Roman"/>
          <w:sz w:val="28"/>
          <w:szCs w:val="28"/>
          <w:lang w:val="uk-UA"/>
        </w:rPr>
        <w:t>дійснення популяризації надання освітніх послуг для дорослих</w:t>
      </w:r>
      <w:r w:rsidR="008E571F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r w:rsidR="008E571F" w:rsidRPr="008E571F">
        <w:rPr>
          <w:rFonts w:ascii="Times New Roman" w:eastAsia="Arial" w:hAnsi="Times New Roman"/>
          <w:sz w:val="28"/>
          <w:szCs w:val="28"/>
          <w:lang w:val="uk-UA"/>
        </w:rPr>
        <w:t>шляхом створено центрів</w:t>
      </w:r>
      <w:r w:rsidR="00F66DCA" w:rsidRPr="008E571F">
        <w:rPr>
          <w:rFonts w:ascii="Times New Roman" w:eastAsia="Arial" w:hAnsi="Times New Roman"/>
          <w:sz w:val="28"/>
          <w:szCs w:val="28"/>
          <w:lang w:val="uk-UA"/>
        </w:rPr>
        <w:t xml:space="preserve"> надання освітніх послуг для дорослих</w:t>
      </w:r>
      <w:r w:rsidR="00F1445C">
        <w:rPr>
          <w:rFonts w:ascii="Times New Roman" w:eastAsia="Arial" w:hAnsi="Times New Roman"/>
          <w:sz w:val="28"/>
          <w:szCs w:val="28"/>
          <w:lang w:val="uk-UA"/>
        </w:rPr>
        <w:t>;</w:t>
      </w:r>
    </w:p>
    <w:p w:rsidR="00F1445C" w:rsidRPr="00F1445C" w:rsidRDefault="00F1445C" w:rsidP="00416CF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з</w:t>
      </w:r>
      <w:r w:rsidRPr="00F1445C">
        <w:rPr>
          <w:rFonts w:ascii="Times New Roman" w:eastAsia="Calibri" w:hAnsi="Times New Roman"/>
          <w:sz w:val="28"/>
          <w:szCs w:val="28"/>
          <w:lang w:val="uk-UA"/>
        </w:rPr>
        <w:t>абезпечення закладів дошкільної освіти методичними, діагностичними та матеріально-технічним засобами для створення та функціонування інклюзивного середовища</w:t>
      </w:r>
      <w:r>
        <w:rPr>
          <w:rFonts w:ascii="Times New Roman" w:eastAsia="Calibri" w:hAnsi="Times New Roman"/>
          <w:sz w:val="28"/>
          <w:szCs w:val="28"/>
          <w:lang w:val="uk-UA"/>
        </w:rPr>
        <w:t>;</w:t>
      </w:r>
    </w:p>
    <w:p w:rsidR="00F1445C" w:rsidRDefault="00F1445C" w:rsidP="00416CFC">
      <w:pPr>
        <w:pStyle w:val="ShapkaDocumentu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F1445C">
        <w:rPr>
          <w:rFonts w:ascii="Times New Roman" w:hAnsi="Times New Roman"/>
          <w:sz w:val="28"/>
          <w:szCs w:val="28"/>
        </w:rPr>
        <w:t>здійснення підвищення кваліфікації працівників інклюзивно-ресурсних центрів щодо роботи з діагностичними засобами для дітей дошкільного віку</w:t>
      </w:r>
      <w:r>
        <w:rPr>
          <w:rFonts w:ascii="Times New Roman" w:hAnsi="Times New Roman"/>
          <w:sz w:val="28"/>
          <w:szCs w:val="28"/>
        </w:rPr>
        <w:t>;</w:t>
      </w:r>
    </w:p>
    <w:p w:rsidR="00F1445C" w:rsidRPr="00582527" w:rsidRDefault="00F1445C" w:rsidP="00416CFC">
      <w:pPr>
        <w:pStyle w:val="a4"/>
        <w:numPr>
          <w:ilvl w:val="0"/>
          <w:numId w:val="6"/>
        </w:numPr>
        <w:spacing w:before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1445C">
        <w:rPr>
          <w:rFonts w:ascii="Times New Roman" w:eastAsia="Arial" w:hAnsi="Times New Roman"/>
          <w:sz w:val="28"/>
          <w:szCs w:val="28"/>
        </w:rPr>
        <w:t>забезпечення оновлення матеріально-технічних засобів для створення та функціонування інклюзивного середовища 52 закладів дошкільної освіти</w:t>
      </w:r>
      <w:r>
        <w:rPr>
          <w:rFonts w:ascii="Times New Roman" w:eastAsia="Arial" w:hAnsi="Times New Roman"/>
          <w:sz w:val="28"/>
          <w:szCs w:val="28"/>
        </w:rPr>
        <w:t>;</w:t>
      </w:r>
    </w:p>
    <w:p w:rsidR="00F1445C" w:rsidRDefault="006F1198" w:rsidP="00416CFC">
      <w:pPr>
        <w:pStyle w:val="a4"/>
        <w:spacing w:before="0"/>
        <w:jc w:val="both"/>
        <w:rPr>
          <w:rFonts w:ascii="Times New Roman" w:eastAsia="Calibri" w:hAnsi="Times New Roman"/>
          <w:sz w:val="28"/>
          <w:szCs w:val="28"/>
        </w:rPr>
      </w:pPr>
      <w:r w:rsidRPr="006F1198">
        <w:rPr>
          <w:rFonts w:ascii="Times New Roman" w:hAnsi="Times New Roman"/>
          <w:sz w:val="28"/>
          <w:szCs w:val="28"/>
        </w:rPr>
        <w:t>6) забезпечення р</w:t>
      </w:r>
      <w:r w:rsidRPr="006F1198">
        <w:rPr>
          <w:rFonts w:ascii="Times New Roman" w:eastAsia="Calibri" w:hAnsi="Times New Roman"/>
          <w:sz w:val="28"/>
          <w:szCs w:val="28"/>
        </w:rPr>
        <w:t xml:space="preserve">озвитку та підтримки впровадження </w:t>
      </w:r>
      <w:r w:rsidRPr="006F1198">
        <w:rPr>
          <w:rFonts w:ascii="Times New Roman" w:hAnsi="Times New Roman"/>
          <w:sz w:val="28"/>
          <w:szCs w:val="28"/>
        </w:rPr>
        <w:t>дуальної форми здобуття освіти</w:t>
      </w:r>
      <w:r w:rsidRPr="006F1198">
        <w:rPr>
          <w:rFonts w:ascii="Times New Roman" w:eastAsia="Calibri" w:hAnsi="Times New Roman"/>
          <w:sz w:val="28"/>
          <w:szCs w:val="28"/>
        </w:rPr>
        <w:t xml:space="preserve"> шляхом реалізації спільних проектів освітніх закладів та бізнесу</w:t>
      </w:r>
      <w:r>
        <w:rPr>
          <w:rFonts w:ascii="Times New Roman" w:eastAsia="Calibri" w:hAnsi="Times New Roman"/>
          <w:sz w:val="28"/>
          <w:szCs w:val="28"/>
        </w:rPr>
        <w:t>;</w:t>
      </w:r>
    </w:p>
    <w:p w:rsidR="006F1198" w:rsidRDefault="00FD56F2" w:rsidP="00416CFC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FD56F2">
        <w:rPr>
          <w:rFonts w:ascii="Times New Roman" w:hAnsi="Times New Roman"/>
          <w:sz w:val="28"/>
          <w:szCs w:val="28"/>
        </w:rPr>
        <w:t>7) впровадження програми підвищення кваліфікації, а також якісних відеоінструкцій щодо користування онлайн-платформами та інструментами для спеціалістів, що надають освітні послуги;</w:t>
      </w:r>
    </w:p>
    <w:p w:rsidR="00FD56F2" w:rsidRDefault="00FD56F2" w:rsidP="00416CFC">
      <w:pPr>
        <w:pStyle w:val="a4"/>
        <w:spacing w:before="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8) </w:t>
      </w:r>
      <w:r w:rsidR="007E1F63">
        <w:rPr>
          <w:rFonts w:ascii="Times New Roman" w:hAnsi="Times New Roman"/>
          <w:sz w:val="28"/>
          <w:szCs w:val="28"/>
        </w:rPr>
        <w:t>проведення п</w:t>
      </w:r>
      <w:r w:rsidR="007E1F63" w:rsidRPr="007E1F63">
        <w:rPr>
          <w:rFonts w:ascii="Times New Roman" w:eastAsia="Arial" w:hAnsi="Times New Roman"/>
          <w:sz w:val="28"/>
          <w:szCs w:val="28"/>
        </w:rPr>
        <w:t>ідвищення кваліфікації керівників</w:t>
      </w:r>
      <w:r w:rsidR="007E1F63">
        <w:rPr>
          <w:rFonts w:ascii="Times New Roman" w:eastAsia="Arial" w:hAnsi="Times New Roman"/>
          <w:sz w:val="28"/>
          <w:szCs w:val="28"/>
        </w:rPr>
        <w:t xml:space="preserve"> </w:t>
      </w:r>
      <w:r w:rsidR="007E1F63" w:rsidRPr="007E1F63">
        <w:rPr>
          <w:rFonts w:ascii="Times New Roman" w:eastAsia="Arial" w:hAnsi="Times New Roman"/>
          <w:sz w:val="28"/>
          <w:szCs w:val="28"/>
        </w:rPr>
        <w:t>закладів освіти відповідно до розроблених модулів щодо організації роботи з дітьми з особливими освітніми потребами</w:t>
      </w:r>
      <w:r w:rsidR="007E1F63">
        <w:rPr>
          <w:rFonts w:ascii="Times New Roman" w:eastAsia="Arial" w:hAnsi="Times New Roman"/>
          <w:sz w:val="28"/>
          <w:szCs w:val="28"/>
        </w:rPr>
        <w:t>;</w:t>
      </w:r>
    </w:p>
    <w:p w:rsidR="007E1F63" w:rsidRDefault="007E1F63" w:rsidP="00416CFC">
      <w:pPr>
        <w:pStyle w:val="a4"/>
        <w:spacing w:before="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9) </w:t>
      </w:r>
      <w:r w:rsidRPr="007E1F63">
        <w:rPr>
          <w:rFonts w:ascii="Times New Roman" w:eastAsia="Arial" w:hAnsi="Times New Roman"/>
          <w:sz w:val="28"/>
          <w:szCs w:val="28"/>
        </w:rPr>
        <w:t xml:space="preserve">забезпечення функціонування мережі інклюзивно-ресурсних центрів </w:t>
      </w:r>
      <w:r>
        <w:rPr>
          <w:rFonts w:ascii="Times New Roman" w:eastAsia="Arial" w:hAnsi="Times New Roman"/>
          <w:sz w:val="28"/>
          <w:szCs w:val="28"/>
        </w:rPr>
        <w:t xml:space="preserve">та </w:t>
      </w:r>
      <w:r w:rsidRPr="007E1F63">
        <w:rPr>
          <w:rFonts w:ascii="Times New Roman" w:eastAsia="Arial" w:hAnsi="Times New Roman"/>
          <w:sz w:val="28"/>
          <w:szCs w:val="28"/>
        </w:rPr>
        <w:t>підвищення кваліфікації фахівців</w:t>
      </w:r>
      <w:r w:rsidRPr="00F27FE1">
        <w:rPr>
          <w:rFonts w:ascii="Times New Roman" w:eastAsia="Arial" w:hAnsi="Times New Roman"/>
        </w:rPr>
        <w:t xml:space="preserve"> </w:t>
      </w:r>
      <w:r w:rsidRPr="007E1F63">
        <w:rPr>
          <w:rFonts w:ascii="Times New Roman" w:eastAsia="Arial" w:hAnsi="Times New Roman"/>
          <w:sz w:val="28"/>
          <w:szCs w:val="28"/>
        </w:rPr>
        <w:t>відповідно до існуючих нормативів</w:t>
      </w:r>
      <w:r>
        <w:rPr>
          <w:rFonts w:ascii="Times New Roman" w:eastAsia="Arial" w:hAnsi="Times New Roman"/>
          <w:sz w:val="28"/>
          <w:szCs w:val="28"/>
        </w:rPr>
        <w:t>;</w:t>
      </w:r>
    </w:p>
    <w:p w:rsidR="001B70DB" w:rsidRDefault="001B70DB" w:rsidP="00416CFC">
      <w:pPr>
        <w:pStyle w:val="a4"/>
        <w:spacing w:before="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</w:t>
      </w:r>
      <w:r>
        <w:rPr>
          <w:rFonts w:ascii="Times New Roman" w:eastAsia="Arial" w:hAnsi="Times New Roman"/>
          <w:sz w:val="28"/>
          <w:szCs w:val="28"/>
        </w:rPr>
        <w:t>забезпечення</w:t>
      </w:r>
      <w:r w:rsidRPr="001B70DB">
        <w:rPr>
          <w:rFonts w:ascii="Times New Roman" w:eastAsia="Arial" w:hAnsi="Times New Roman"/>
          <w:sz w:val="28"/>
          <w:szCs w:val="28"/>
        </w:rPr>
        <w:t xml:space="preserve"> надання соціальної послуги із супроводження під час</w:t>
      </w:r>
      <w:r>
        <w:rPr>
          <w:rFonts w:ascii="Times New Roman" w:eastAsia="Arial" w:hAnsi="Times New Roman"/>
          <w:sz w:val="28"/>
          <w:szCs w:val="28"/>
        </w:rPr>
        <w:t xml:space="preserve"> інклюзивного навчання, створення</w:t>
      </w:r>
      <w:r w:rsidRPr="001B70DB">
        <w:rPr>
          <w:rFonts w:ascii="Times New Roman" w:eastAsia="Arial" w:hAnsi="Times New Roman"/>
          <w:sz w:val="28"/>
          <w:szCs w:val="28"/>
        </w:rPr>
        <w:t xml:space="preserve"> умов для працевлаштування батьків дітей з особливими освітніми потребами для надання такої послуги</w:t>
      </w:r>
      <w:r>
        <w:rPr>
          <w:rFonts w:ascii="Times New Roman" w:eastAsia="Arial" w:hAnsi="Times New Roman"/>
          <w:sz w:val="28"/>
          <w:szCs w:val="28"/>
        </w:rPr>
        <w:t>;</w:t>
      </w:r>
    </w:p>
    <w:p w:rsidR="001B70DB" w:rsidRPr="00522462" w:rsidRDefault="001B70DB" w:rsidP="00416CFC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 w:rsidRPr="00522462">
        <w:rPr>
          <w:rFonts w:ascii="Times New Roman" w:eastAsia="Arial" w:hAnsi="Times New Roman"/>
          <w:sz w:val="28"/>
          <w:szCs w:val="28"/>
        </w:rPr>
        <w:t xml:space="preserve">11) </w:t>
      </w:r>
      <w:r w:rsidR="00522462" w:rsidRPr="00522462">
        <w:rPr>
          <w:rFonts w:ascii="Times New Roman" w:eastAsia="Arial" w:hAnsi="Times New Roman"/>
          <w:sz w:val="28"/>
          <w:szCs w:val="28"/>
        </w:rPr>
        <w:t>забезпечення доставки навчального та іншого обладнання закладів освіти, зокрема навчально-методичними та навчально-наочними посібниками, підручниками</w:t>
      </w:r>
      <w:r w:rsidR="00522462">
        <w:rPr>
          <w:rFonts w:ascii="Times New Roman" w:eastAsia="Arial" w:hAnsi="Times New Roman"/>
          <w:sz w:val="28"/>
          <w:szCs w:val="28"/>
        </w:rPr>
        <w:t>;</w:t>
      </w:r>
    </w:p>
    <w:p w:rsidR="006F1198" w:rsidRDefault="00522462" w:rsidP="00416CFC">
      <w:pPr>
        <w:pStyle w:val="a4"/>
        <w:spacing w:befor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2462">
        <w:rPr>
          <w:rFonts w:ascii="Times New Roman" w:hAnsi="Times New Roman"/>
          <w:sz w:val="28"/>
          <w:szCs w:val="28"/>
          <w:shd w:val="clear" w:color="auto" w:fill="FFFFFF"/>
        </w:rPr>
        <w:t>12) забезпечення закладів освіти сучасним обладнанням для харчоблоків у рамках субвенції з державного бюджету місцевим бюджетам на реалізацію програми “Спроможна школа для кращих результатів”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22462" w:rsidRPr="006C3C8E" w:rsidRDefault="006C3C8E" w:rsidP="00416CFC">
      <w:pPr>
        <w:pStyle w:val="a4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у</w:t>
      </w:r>
      <w:r w:rsidRPr="006C3C8E">
        <w:rPr>
          <w:rFonts w:ascii="Times New Roman" w:hAnsi="Times New Roman"/>
          <w:sz w:val="28"/>
          <w:szCs w:val="28"/>
          <w:lang w:eastAsia="uk-UA"/>
        </w:rPr>
        <w:t>творення центрів раннього втручання на базі діючої мережі закладів освіти з урахуванням потреб та фінансових можливостей відповідної адміністративно-територіальної одиниці</w:t>
      </w:r>
      <w:r w:rsidR="00D40B8C">
        <w:rPr>
          <w:rFonts w:ascii="Times New Roman" w:hAnsi="Times New Roman"/>
          <w:sz w:val="28"/>
          <w:szCs w:val="28"/>
          <w:lang w:eastAsia="uk-UA"/>
        </w:rPr>
        <w:t>;</w:t>
      </w:r>
    </w:p>
    <w:p w:rsidR="006C3C8E" w:rsidRPr="006C3C8E" w:rsidRDefault="006C3C8E" w:rsidP="00416CFC">
      <w:pPr>
        <w:pStyle w:val="a4"/>
        <w:spacing w:before="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14</w:t>
      </w:r>
      <w:r w:rsidRPr="006C3C8E">
        <w:rPr>
          <w:rFonts w:ascii="Times New Roman" w:hAnsi="Times New Roman"/>
          <w:sz w:val="28"/>
          <w:szCs w:val="28"/>
        </w:rPr>
        <w:t xml:space="preserve">) </w:t>
      </w:r>
      <w:r w:rsidRPr="006C3C8E">
        <w:rPr>
          <w:rFonts w:ascii="Times New Roman" w:hAnsi="Times New Roman"/>
          <w:sz w:val="28"/>
          <w:szCs w:val="28"/>
          <w:shd w:val="clear" w:color="auto" w:fill="FFFFFF"/>
        </w:rPr>
        <w:t>запровадження механізму надання послуг</w:t>
      </w:r>
      <w:r w:rsidRPr="006C3C8E">
        <w:rPr>
          <w:rFonts w:ascii="Times New Roman" w:hAnsi="Times New Roman"/>
          <w:sz w:val="28"/>
          <w:szCs w:val="28"/>
          <w:lang w:eastAsia="uk-UA"/>
        </w:rPr>
        <w:t xml:space="preserve"> з раннього втручання в закладах охорони здоров’я</w:t>
      </w:r>
      <w:r>
        <w:rPr>
          <w:rFonts w:ascii="Times New Roman" w:hAnsi="Times New Roman"/>
          <w:sz w:val="28"/>
          <w:szCs w:val="28"/>
          <w:lang w:eastAsia="uk-UA"/>
        </w:rPr>
        <w:t>;</w:t>
      </w:r>
    </w:p>
    <w:p w:rsidR="006C3C8E" w:rsidRPr="008028F9" w:rsidRDefault="006C3C8E" w:rsidP="00416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28F9">
        <w:rPr>
          <w:rFonts w:ascii="Times New Roman" w:hAnsi="Times New Roman" w:cs="Times New Roman"/>
          <w:sz w:val="28"/>
          <w:szCs w:val="28"/>
          <w:lang w:val="uk-UA"/>
        </w:rPr>
        <w:t xml:space="preserve">За напрямом „Економічна безбар’єрність” планується: </w:t>
      </w:r>
    </w:p>
    <w:p w:rsidR="00CB13F7" w:rsidRDefault="00E04216" w:rsidP="00416CF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/>
          <w:sz w:val="28"/>
          <w:szCs w:val="28"/>
          <w:lang w:val="uk-UA"/>
        </w:rPr>
        <w:t>1) з</w:t>
      </w:r>
      <w:r w:rsidR="00CB13F7" w:rsidRPr="00CB13F7">
        <w:rPr>
          <w:rFonts w:ascii="Times New Roman" w:eastAsia="Calibri" w:hAnsi="Times New Roman"/>
          <w:sz w:val="28"/>
          <w:szCs w:val="28"/>
          <w:lang w:val="uk-UA"/>
        </w:rPr>
        <w:t>абезпечення п</w:t>
      </w:r>
      <w:r w:rsidR="00CB13F7">
        <w:rPr>
          <w:rFonts w:ascii="Times New Roman" w:eastAsia="Calibri" w:hAnsi="Times New Roman"/>
          <w:sz w:val="28"/>
          <w:szCs w:val="28"/>
          <w:lang w:val="uk-UA"/>
        </w:rPr>
        <w:t>роведення</w:t>
      </w:r>
      <w:r w:rsidR="00CB13F7" w:rsidRPr="00CB13F7">
        <w:rPr>
          <w:rFonts w:ascii="Times New Roman" w:eastAsia="Calibri" w:hAnsi="Times New Roman"/>
          <w:sz w:val="28"/>
          <w:szCs w:val="28"/>
          <w:lang w:val="uk-UA"/>
        </w:rPr>
        <w:t xml:space="preserve"> навчальних курсів з підприємництва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CB13F7" w:rsidRPr="00CB13F7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серед таких груп населення, як молодь, жінки, особи похи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лого віку, особи з інвалідністю;</w:t>
      </w:r>
    </w:p>
    <w:p w:rsidR="00E04216" w:rsidRDefault="00E04216" w:rsidP="00416CF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A27F22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 xml:space="preserve">2) </w:t>
      </w:r>
      <w:r w:rsidR="00A27F22">
        <w:rPr>
          <w:rFonts w:ascii="Times New Roman" w:eastAsia="Calibri" w:hAnsi="Times New Roman"/>
          <w:sz w:val="28"/>
          <w:szCs w:val="28"/>
          <w:shd w:val="clear" w:color="auto" w:fill="FFFFFF"/>
          <w:lang w:val="uk-UA"/>
        </w:rPr>
        <w:t>п</w:t>
      </w:r>
      <w:r w:rsidR="00A27F22" w:rsidRPr="00A27F22">
        <w:rPr>
          <w:rFonts w:ascii="Times New Roman" w:eastAsia="Calibri" w:hAnsi="Times New Roman"/>
          <w:sz w:val="28"/>
          <w:szCs w:val="28"/>
          <w:lang w:val="uk-UA"/>
        </w:rPr>
        <w:t xml:space="preserve">роведено інформаційні та </w:t>
      </w:r>
      <w:proofErr w:type="spellStart"/>
      <w:r w:rsidR="00A27F22" w:rsidRPr="00A27F22">
        <w:rPr>
          <w:rFonts w:ascii="Times New Roman" w:eastAsia="Calibri" w:hAnsi="Times New Roman"/>
          <w:sz w:val="28"/>
          <w:szCs w:val="28"/>
          <w:lang w:val="uk-UA"/>
        </w:rPr>
        <w:t>профконсультаційні</w:t>
      </w:r>
      <w:proofErr w:type="spellEnd"/>
      <w:r w:rsidR="00A27F22" w:rsidRPr="00A27F22">
        <w:rPr>
          <w:rFonts w:ascii="Times New Roman" w:eastAsia="Calibri" w:hAnsi="Times New Roman"/>
          <w:sz w:val="28"/>
          <w:szCs w:val="28"/>
          <w:lang w:val="uk-UA"/>
        </w:rPr>
        <w:t xml:space="preserve"> заходи з підтримки «ветеранського бізнесу»</w:t>
      </w:r>
      <w:r w:rsidR="00A27F22">
        <w:rPr>
          <w:rFonts w:ascii="Times New Roman" w:eastAsia="Calibri" w:hAnsi="Times New Roman"/>
          <w:sz w:val="28"/>
          <w:szCs w:val="28"/>
          <w:lang w:val="uk-UA"/>
        </w:rPr>
        <w:t>;</w:t>
      </w:r>
    </w:p>
    <w:p w:rsidR="00735EC9" w:rsidRPr="00152EF8" w:rsidRDefault="00A27F22" w:rsidP="00416CFC">
      <w:pPr>
        <w:pStyle w:val="a4"/>
        <w:spacing w:before="0"/>
        <w:jc w:val="both"/>
        <w:rPr>
          <w:rFonts w:ascii="Times New Roman" w:eastAsia="Calibri" w:hAnsi="Times New Roman"/>
          <w:sz w:val="28"/>
          <w:szCs w:val="28"/>
        </w:rPr>
      </w:pPr>
      <w:r w:rsidRPr="00A27F22">
        <w:rPr>
          <w:rFonts w:ascii="Times New Roman" w:eastAsia="Calibri" w:hAnsi="Times New Roman"/>
          <w:sz w:val="28"/>
          <w:szCs w:val="28"/>
        </w:rPr>
        <w:t xml:space="preserve">3) забезпечення розвитку та </w:t>
      </w:r>
      <w:proofErr w:type="spellStart"/>
      <w:r w:rsidRPr="00A27F22">
        <w:rPr>
          <w:rFonts w:ascii="Times New Roman" w:eastAsia="Calibri" w:hAnsi="Times New Roman"/>
          <w:sz w:val="28"/>
          <w:szCs w:val="28"/>
        </w:rPr>
        <w:t>інституціоналізації</w:t>
      </w:r>
      <w:proofErr w:type="spellEnd"/>
      <w:r w:rsidRPr="00A27F22">
        <w:rPr>
          <w:rFonts w:ascii="Times New Roman" w:eastAsia="Calibri" w:hAnsi="Times New Roman"/>
          <w:sz w:val="28"/>
          <w:szCs w:val="28"/>
        </w:rPr>
        <w:t xml:space="preserve"> мережі центрів підтримки підприємців, власниками та засновниками яких є цільові групи, за участю органів місцевого самоврядування</w:t>
      </w:r>
      <w:r w:rsidR="009E4A43">
        <w:rPr>
          <w:rFonts w:ascii="Times New Roman" w:eastAsia="Calibri" w:hAnsi="Times New Roman"/>
          <w:sz w:val="28"/>
          <w:szCs w:val="28"/>
        </w:rPr>
        <w:t>.</w:t>
      </w:r>
    </w:p>
    <w:p w:rsidR="00BE15D9" w:rsidRPr="00735EC9" w:rsidRDefault="00BE15D9" w:rsidP="00416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EC9">
        <w:rPr>
          <w:rFonts w:ascii="Times New Roman" w:hAnsi="Times New Roman" w:cs="Times New Roman"/>
          <w:sz w:val="28"/>
          <w:szCs w:val="28"/>
          <w:lang w:val="uk-UA"/>
        </w:rPr>
        <w:t xml:space="preserve">Очікуваним результатом виконання заходів є визначення та суспільна підтримка стратегічного курсу області у сфері створення безбар’єрного простору, послідовна реалізація якого дозволить кожному громадянину: </w:t>
      </w:r>
    </w:p>
    <w:p w:rsidR="00BE15D9" w:rsidRPr="00735EC9" w:rsidRDefault="00BE15D9" w:rsidP="00416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EC9">
        <w:rPr>
          <w:rFonts w:ascii="Times New Roman" w:hAnsi="Times New Roman" w:cs="Times New Roman"/>
          <w:sz w:val="28"/>
          <w:szCs w:val="28"/>
          <w:lang w:val="uk-UA"/>
        </w:rPr>
        <w:t xml:space="preserve">безперешкодно пересуватися громадським простором та отримувати інформацію у найзручніший спосіб; </w:t>
      </w:r>
    </w:p>
    <w:p w:rsidR="00BE15D9" w:rsidRPr="00735EC9" w:rsidRDefault="00BE15D9" w:rsidP="00416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EC9">
        <w:rPr>
          <w:rFonts w:ascii="Times New Roman" w:hAnsi="Times New Roman" w:cs="Times New Roman"/>
          <w:sz w:val="28"/>
          <w:szCs w:val="28"/>
          <w:lang w:val="uk-UA"/>
        </w:rPr>
        <w:t xml:space="preserve">отримати спрощений доступ до </w:t>
      </w:r>
      <w:proofErr w:type="spellStart"/>
      <w:r w:rsidRPr="00735EC9">
        <w:rPr>
          <w:rFonts w:ascii="Times New Roman" w:hAnsi="Times New Roman" w:cs="Times New Roman"/>
          <w:sz w:val="28"/>
          <w:szCs w:val="28"/>
          <w:lang w:val="uk-UA"/>
        </w:rPr>
        <w:t>цифровізованих</w:t>
      </w:r>
      <w:proofErr w:type="spellEnd"/>
      <w:r w:rsidRPr="00735EC9">
        <w:rPr>
          <w:rFonts w:ascii="Times New Roman" w:hAnsi="Times New Roman" w:cs="Times New Roman"/>
          <w:sz w:val="28"/>
          <w:szCs w:val="28"/>
          <w:lang w:val="uk-UA"/>
        </w:rPr>
        <w:t xml:space="preserve"> та аналогових державних і соціальних послуг; </w:t>
      </w:r>
    </w:p>
    <w:p w:rsidR="00735EC9" w:rsidRPr="00735EC9" w:rsidRDefault="00BE15D9" w:rsidP="00416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EC9">
        <w:rPr>
          <w:rFonts w:ascii="Times New Roman" w:hAnsi="Times New Roman" w:cs="Times New Roman"/>
          <w:sz w:val="28"/>
          <w:szCs w:val="28"/>
          <w:lang w:val="uk-UA"/>
        </w:rPr>
        <w:t xml:space="preserve">отримати рівні умови участі у всіх сферах життя суспільства; </w:t>
      </w:r>
    </w:p>
    <w:p w:rsidR="00BE15D9" w:rsidRPr="00735EC9" w:rsidRDefault="00BE15D9" w:rsidP="00416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EC9">
        <w:rPr>
          <w:rFonts w:ascii="Times New Roman" w:hAnsi="Times New Roman" w:cs="Times New Roman"/>
          <w:sz w:val="28"/>
          <w:szCs w:val="28"/>
          <w:lang w:val="uk-UA"/>
        </w:rPr>
        <w:t>брати участь у політичних процесах та громадській діяльності;</w:t>
      </w:r>
    </w:p>
    <w:p w:rsidR="00BE15D9" w:rsidRPr="00735EC9" w:rsidRDefault="00BE15D9" w:rsidP="00416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EC9">
        <w:rPr>
          <w:rFonts w:ascii="Times New Roman" w:hAnsi="Times New Roman" w:cs="Times New Roman"/>
          <w:sz w:val="28"/>
          <w:szCs w:val="28"/>
          <w:lang w:val="uk-UA"/>
        </w:rPr>
        <w:t xml:space="preserve">отримати рівні можливості та вільний доступ до освіти; </w:t>
      </w:r>
    </w:p>
    <w:p w:rsidR="0099790E" w:rsidRPr="0055711E" w:rsidRDefault="00BE15D9" w:rsidP="00416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EC9">
        <w:rPr>
          <w:rFonts w:ascii="Times New Roman" w:hAnsi="Times New Roman" w:cs="Times New Roman"/>
          <w:sz w:val="28"/>
          <w:szCs w:val="28"/>
          <w:lang w:val="uk-UA"/>
        </w:rPr>
        <w:t xml:space="preserve">отримати умови та можливості для працевлаштування, а також заняття підприємництвом. </w:t>
      </w:r>
    </w:p>
    <w:p w:rsidR="00BE7E1E" w:rsidRDefault="00BE7E1E" w:rsidP="0041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7460" w:rsidRPr="006770AB" w:rsidRDefault="00FF0E45" w:rsidP="00416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0E4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E7E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F0E4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Напрям</w:t>
      </w:r>
      <w:r w:rsidR="006770AB">
        <w:rPr>
          <w:rFonts w:ascii="Times New Roman" w:hAnsi="Times New Roman" w:cs="Times New Roman"/>
          <w:b/>
          <w:sz w:val="28"/>
          <w:szCs w:val="28"/>
          <w:lang w:val="uk-UA"/>
        </w:rPr>
        <w:t>и діяльності та заходи Програми</w:t>
      </w:r>
    </w:p>
    <w:p w:rsidR="00FF0E45" w:rsidRDefault="00FF0E45" w:rsidP="0041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Напрями діяльності та заходи Програми викладено в додатку 2.</w:t>
      </w:r>
    </w:p>
    <w:p w:rsidR="00EF0A68" w:rsidRDefault="00EF0A68" w:rsidP="00416C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6957" w:rsidRDefault="00C06957" w:rsidP="0041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E45" w:rsidRPr="00A67460" w:rsidRDefault="00FF0E45" w:rsidP="00416CF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0E4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BE7E1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F0E45">
        <w:rPr>
          <w:rFonts w:ascii="Times New Roman" w:hAnsi="Times New Roman" w:cs="Times New Roman"/>
          <w:b/>
          <w:sz w:val="28"/>
          <w:szCs w:val="28"/>
          <w:lang w:val="uk-UA"/>
        </w:rPr>
        <w:t>І. 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Координація та контроль за ходом виконання Програми</w:t>
      </w:r>
    </w:p>
    <w:p w:rsidR="00A90759" w:rsidRDefault="00FF0E45" w:rsidP="0041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7460">
        <w:rPr>
          <w:rFonts w:ascii="Times New Roman" w:hAnsi="Times New Roman" w:cs="Times New Roman"/>
          <w:sz w:val="28"/>
          <w:szCs w:val="28"/>
          <w:lang w:val="uk-UA"/>
        </w:rPr>
        <w:t>Координацію дій та забезпечення виконання заходів Програми здійснює управління містобудування та архітектури Херсонської об</w:t>
      </w:r>
      <w:r w:rsidR="006770AB">
        <w:rPr>
          <w:rFonts w:ascii="Times New Roman" w:hAnsi="Times New Roman" w:cs="Times New Roman"/>
          <w:sz w:val="28"/>
          <w:szCs w:val="28"/>
          <w:lang w:val="uk-UA"/>
        </w:rPr>
        <w:t xml:space="preserve">ласної державної </w:t>
      </w:r>
      <w:r w:rsidR="00B57E5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35C18" w:rsidRPr="00455D65" w:rsidRDefault="006770AB" w:rsidP="0041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10BE" w:rsidRPr="00455D65">
        <w:rPr>
          <w:rFonts w:ascii="Times New Roman" w:hAnsi="Times New Roman" w:cs="Times New Roman"/>
          <w:sz w:val="28"/>
          <w:szCs w:val="28"/>
          <w:lang w:val="uk-UA"/>
        </w:rPr>
        <w:t xml:space="preserve">Виконавці Програми, </w:t>
      </w:r>
      <w:r w:rsidR="00435C18" w:rsidRPr="00455D65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2310BE" w:rsidRPr="00455D65">
        <w:rPr>
          <w:rFonts w:ascii="Times New Roman" w:hAnsi="Times New Roman" w:cs="Times New Roman"/>
          <w:sz w:val="28"/>
          <w:szCs w:val="28"/>
          <w:lang w:val="uk-UA"/>
        </w:rPr>
        <w:t>визначені розпорядниками коштів за відповідними напрямками</w:t>
      </w:r>
      <w:r w:rsidR="00435C18" w:rsidRPr="00455D65">
        <w:rPr>
          <w:rFonts w:ascii="Times New Roman" w:hAnsi="Times New Roman" w:cs="Times New Roman"/>
          <w:sz w:val="28"/>
          <w:szCs w:val="28"/>
          <w:lang w:val="uk-UA"/>
        </w:rPr>
        <w:t xml:space="preserve"> Програми</w:t>
      </w:r>
      <w:r w:rsidR="002310BE" w:rsidRPr="00455D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3792" w:rsidRPr="00455D6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відповідальні</w:t>
      </w:r>
      <w:r w:rsidR="00B57E59" w:rsidRPr="00455D65">
        <w:rPr>
          <w:rFonts w:ascii="Times New Roman" w:hAnsi="Times New Roman" w:cs="Times New Roman"/>
          <w:sz w:val="28"/>
          <w:szCs w:val="28"/>
          <w:lang w:val="uk-UA"/>
        </w:rPr>
        <w:t xml:space="preserve"> за виконання заходів Програми  та  </w:t>
      </w:r>
      <w:r w:rsidR="002310BE" w:rsidRPr="00455D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5C18" w:rsidRPr="00455D65">
        <w:rPr>
          <w:rFonts w:ascii="Times New Roman" w:hAnsi="Times New Roman" w:cs="Times New Roman"/>
          <w:sz w:val="28"/>
          <w:szCs w:val="28"/>
          <w:lang w:val="uk-UA"/>
        </w:rPr>
        <w:t>зокрема за цільове та ефективне використання коштів.</w:t>
      </w:r>
    </w:p>
    <w:p w:rsidR="006770AB" w:rsidRDefault="00435C18" w:rsidP="00416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D65">
        <w:rPr>
          <w:rFonts w:ascii="Times New Roman" w:hAnsi="Times New Roman" w:cs="Times New Roman"/>
          <w:sz w:val="28"/>
          <w:szCs w:val="28"/>
          <w:lang w:val="uk-UA"/>
        </w:rPr>
        <w:tab/>
        <w:t xml:space="preserve">Управління містобудування та архітектури Херсонської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обласної державної адміністрації до 01 лютого 2023 року інформує про хід виконання Програми обласну державну адміністрацію та </w:t>
      </w:r>
      <w:r w:rsidR="00013FE1">
        <w:rPr>
          <w:rFonts w:ascii="Times New Roman" w:hAnsi="Times New Roman" w:cs="Times New Roman"/>
          <w:sz w:val="28"/>
          <w:szCs w:val="28"/>
          <w:lang w:val="uk-UA"/>
        </w:rPr>
        <w:t>забезпечує підготовку звіту щодо виконання Програми</w:t>
      </w:r>
      <w:r w:rsidR="004859F5">
        <w:rPr>
          <w:rFonts w:ascii="Times New Roman" w:hAnsi="Times New Roman" w:cs="Times New Roman"/>
          <w:sz w:val="28"/>
          <w:szCs w:val="28"/>
          <w:lang w:val="uk-UA"/>
        </w:rPr>
        <w:t xml:space="preserve"> обласній раді.</w:t>
      </w:r>
      <w:r w:rsidR="00013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310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6770AB" w:rsidSect="00A67460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8F8" w:rsidRDefault="00DB48F8" w:rsidP="00A67460">
      <w:pPr>
        <w:spacing w:after="0" w:line="240" w:lineRule="auto"/>
      </w:pPr>
      <w:r>
        <w:separator/>
      </w:r>
    </w:p>
  </w:endnote>
  <w:endnote w:type="continuationSeparator" w:id="0">
    <w:p w:rsidR="00DB48F8" w:rsidRDefault="00DB48F8" w:rsidP="00A6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8F8" w:rsidRDefault="00DB48F8" w:rsidP="00A67460">
      <w:pPr>
        <w:spacing w:after="0" w:line="240" w:lineRule="auto"/>
      </w:pPr>
      <w:r>
        <w:separator/>
      </w:r>
    </w:p>
  </w:footnote>
  <w:footnote w:type="continuationSeparator" w:id="0">
    <w:p w:rsidR="00DB48F8" w:rsidRDefault="00DB48F8" w:rsidP="00A67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062590"/>
      <w:docPartObj>
        <w:docPartGallery w:val="Page Numbers (Top of Page)"/>
        <w:docPartUnique/>
      </w:docPartObj>
    </w:sdtPr>
    <w:sdtEndPr/>
    <w:sdtContent>
      <w:p w:rsidR="00A67460" w:rsidRDefault="00A674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747">
          <w:rPr>
            <w:noProof/>
          </w:rPr>
          <w:t>4</w:t>
        </w:r>
        <w:r>
          <w:fldChar w:fldCharType="end"/>
        </w:r>
      </w:p>
    </w:sdtContent>
  </w:sdt>
  <w:p w:rsidR="00A67460" w:rsidRDefault="00A6746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BEB"/>
    <w:multiLevelType w:val="hybridMultilevel"/>
    <w:tmpl w:val="19D68A0E"/>
    <w:lvl w:ilvl="0" w:tplc="0B68F016">
      <w:start w:val="1"/>
      <w:numFmt w:val="decimal"/>
      <w:lvlText w:val="%1)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646417"/>
    <w:multiLevelType w:val="hybridMultilevel"/>
    <w:tmpl w:val="C91E405A"/>
    <w:lvl w:ilvl="0" w:tplc="889643EA">
      <w:start w:val="2"/>
      <w:numFmt w:val="decimal"/>
      <w:lvlText w:val="%1)"/>
      <w:lvlJc w:val="left"/>
      <w:pPr>
        <w:ind w:left="1068" w:hanging="360"/>
      </w:pPr>
      <w:rPr>
        <w:rFonts w:eastAsia="Arial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804D4F"/>
    <w:multiLevelType w:val="hybridMultilevel"/>
    <w:tmpl w:val="72406D36"/>
    <w:lvl w:ilvl="0" w:tplc="34C60A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17940"/>
    <w:multiLevelType w:val="hybridMultilevel"/>
    <w:tmpl w:val="09C64F50"/>
    <w:lvl w:ilvl="0" w:tplc="3F7497DA">
      <w:start w:val="2"/>
      <w:numFmt w:val="decimal"/>
      <w:lvlText w:val="%1)"/>
      <w:lvlJc w:val="left"/>
      <w:pPr>
        <w:ind w:left="1068" w:hanging="360"/>
      </w:pPr>
      <w:rPr>
        <w:rFonts w:eastAsia="Arial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FB4EE4"/>
    <w:multiLevelType w:val="hybridMultilevel"/>
    <w:tmpl w:val="FA8A43D2"/>
    <w:lvl w:ilvl="0" w:tplc="A4142418">
      <w:start w:val="2"/>
      <w:numFmt w:val="decimal"/>
      <w:lvlText w:val="%1)"/>
      <w:lvlJc w:val="left"/>
      <w:pPr>
        <w:ind w:left="1068" w:hanging="360"/>
      </w:pPr>
      <w:rPr>
        <w:rFonts w:eastAsia="Arial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AB2248A"/>
    <w:multiLevelType w:val="hybridMultilevel"/>
    <w:tmpl w:val="61CC2E5E"/>
    <w:lvl w:ilvl="0" w:tplc="7B6A0A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DA1531"/>
    <w:multiLevelType w:val="hybridMultilevel"/>
    <w:tmpl w:val="A6384A78"/>
    <w:lvl w:ilvl="0" w:tplc="52B2FEB2">
      <w:start w:val="1"/>
      <w:numFmt w:val="decimal"/>
      <w:lvlText w:val="%1)"/>
      <w:lvlJc w:val="left"/>
      <w:pPr>
        <w:ind w:left="1068" w:hanging="360"/>
      </w:pPr>
      <w:rPr>
        <w:rFonts w:eastAsia="Arial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C7E"/>
    <w:rsid w:val="00005314"/>
    <w:rsid w:val="00013FE1"/>
    <w:rsid w:val="00027900"/>
    <w:rsid w:val="00042537"/>
    <w:rsid w:val="00062BBD"/>
    <w:rsid w:val="0007299B"/>
    <w:rsid w:val="000E226C"/>
    <w:rsid w:val="000F7AD2"/>
    <w:rsid w:val="00105A43"/>
    <w:rsid w:val="00126CEC"/>
    <w:rsid w:val="00134707"/>
    <w:rsid w:val="00134A54"/>
    <w:rsid w:val="00134EE5"/>
    <w:rsid w:val="001406F0"/>
    <w:rsid w:val="00152EF8"/>
    <w:rsid w:val="00154215"/>
    <w:rsid w:val="00183792"/>
    <w:rsid w:val="001B70DB"/>
    <w:rsid w:val="001C5682"/>
    <w:rsid w:val="001D2747"/>
    <w:rsid w:val="001F7353"/>
    <w:rsid w:val="002310BE"/>
    <w:rsid w:val="0023747E"/>
    <w:rsid w:val="00250A3F"/>
    <w:rsid w:val="00266803"/>
    <w:rsid w:val="00286781"/>
    <w:rsid w:val="002B5F66"/>
    <w:rsid w:val="002C263B"/>
    <w:rsid w:val="002D6A7C"/>
    <w:rsid w:val="0030494F"/>
    <w:rsid w:val="00307A7D"/>
    <w:rsid w:val="00311865"/>
    <w:rsid w:val="00313262"/>
    <w:rsid w:val="003948E6"/>
    <w:rsid w:val="003A223C"/>
    <w:rsid w:val="003B6B0E"/>
    <w:rsid w:val="003D1768"/>
    <w:rsid w:val="003F0C60"/>
    <w:rsid w:val="003F665C"/>
    <w:rsid w:val="004001C1"/>
    <w:rsid w:val="00404EDC"/>
    <w:rsid w:val="00411DEF"/>
    <w:rsid w:val="00416CFC"/>
    <w:rsid w:val="00422E7D"/>
    <w:rsid w:val="00425748"/>
    <w:rsid w:val="00426792"/>
    <w:rsid w:val="00427A1C"/>
    <w:rsid w:val="00435C18"/>
    <w:rsid w:val="00450682"/>
    <w:rsid w:val="00455D65"/>
    <w:rsid w:val="00465522"/>
    <w:rsid w:val="00482886"/>
    <w:rsid w:val="004859F5"/>
    <w:rsid w:val="004A4577"/>
    <w:rsid w:val="004A60B1"/>
    <w:rsid w:val="004C2DB4"/>
    <w:rsid w:val="004C701E"/>
    <w:rsid w:val="00507B8E"/>
    <w:rsid w:val="00522462"/>
    <w:rsid w:val="00556B61"/>
    <w:rsid w:val="0055711E"/>
    <w:rsid w:val="00574A10"/>
    <w:rsid w:val="00575B98"/>
    <w:rsid w:val="00582527"/>
    <w:rsid w:val="00587225"/>
    <w:rsid w:val="005D50D9"/>
    <w:rsid w:val="00603184"/>
    <w:rsid w:val="00626A7B"/>
    <w:rsid w:val="00671973"/>
    <w:rsid w:val="006770AB"/>
    <w:rsid w:val="00687B53"/>
    <w:rsid w:val="006B2512"/>
    <w:rsid w:val="006C3C8E"/>
    <w:rsid w:val="006D6AE3"/>
    <w:rsid w:val="006F1198"/>
    <w:rsid w:val="006F1DA9"/>
    <w:rsid w:val="006F3167"/>
    <w:rsid w:val="0070290D"/>
    <w:rsid w:val="00733D51"/>
    <w:rsid w:val="00735EC9"/>
    <w:rsid w:val="00752AEE"/>
    <w:rsid w:val="0076395E"/>
    <w:rsid w:val="00774C4E"/>
    <w:rsid w:val="00792004"/>
    <w:rsid w:val="007A615D"/>
    <w:rsid w:val="007B764B"/>
    <w:rsid w:val="007E0D72"/>
    <w:rsid w:val="007E1F63"/>
    <w:rsid w:val="007E5C4B"/>
    <w:rsid w:val="008028F9"/>
    <w:rsid w:val="008056CD"/>
    <w:rsid w:val="0081278F"/>
    <w:rsid w:val="00856783"/>
    <w:rsid w:val="00861084"/>
    <w:rsid w:val="00885EC0"/>
    <w:rsid w:val="00893870"/>
    <w:rsid w:val="00896521"/>
    <w:rsid w:val="008B5789"/>
    <w:rsid w:val="008D74CE"/>
    <w:rsid w:val="008E571F"/>
    <w:rsid w:val="008F4DA0"/>
    <w:rsid w:val="0092365E"/>
    <w:rsid w:val="00941889"/>
    <w:rsid w:val="00947278"/>
    <w:rsid w:val="00972B7A"/>
    <w:rsid w:val="0099790E"/>
    <w:rsid w:val="009D715D"/>
    <w:rsid w:val="009E4A43"/>
    <w:rsid w:val="009F7044"/>
    <w:rsid w:val="00A07747"/>
    <w:rsid w:val="00A27F22"/>
    <w:rsid w:val="00A32402"/>
    <w:rsid w:val="00A56AD7"/>
    <w:rsid w:val="00A67460"/>
    <w:rsid w:val="00A713B2"/>
    <w:rsid w:val="00A90759"/>
    <w:rsid w:val="00A97D5F"/>
    <w:rsid w:val="00B337A5"/>
    <w:rsid w:val="00B54155"/>
    <w:rsid w:val="00B573DA"/>
    <w:rsid w:val="00B57E59"/>
    <w:rsid w:val="00BA24A1"/>
    <w:rsid w:val="00BB2014"/>
    <w:rsid w:val="00BB41E8"/>
    <w:rsid w:val="00BB5B70"/>
    <w:rsid w:val="00BC69B4"/>
    <w:rsid w:val="00BE15D9"/>
    <w:rsid w:val="00BE7E1E"/>
    <w:rsid w:val="00C06957"/>
    <w:rsid w:val="00C27EDB"/>
    <w:rsid w:val="00C57446"/>
    <w:rsid w:val="00C66664"/>
    <w:rsid w:val="00C758E7"/>
    <w:rsid w:val="00CA5BD6"/>
    <w:rsid w:val="00CB13F7"/>
    <w:rsid w:val="00D04AE7"/>
    <w:rsid w:val="00D15B83"/>
    <w:rsid w:val="00D40B8C"/>
    <w:rsid w:val="00D44FC8"/>
    <w:rsid w:val="00D6472D"/>
    <w:rsid w:val="00D70B71"/>
    <w:rsid w:val="00D749A8"/>
    <w:rsid w:val="00DA0671"/>
    <w:rsid w:val="00DB48F8"/>
    <w:rsid w:val="00DF0BB8"/>
    <w:rsid w:val="00E03574"/>
    <w:rsid w:val="00E04216"/>
    <w:rsid w:val="00E12A05"/>
    <w:rsid w:val="00E16BF6"/>
    <w:rsid w:val="00E323BD"/>
    <w:rsid w:val="00E54732"/>
    <w:rsid w:val="00E549E2"/>
    <w:rsid w:val="00E911DE"/>
    <w:rsid w:val="00EB5380"/>
    <w:rsid w:val="00EC7371"/>
    <w:rsid w:val="00EE2C06"/>
    <w:rsid w:val="00EF0A68"/>
    <w:rsid w:val="00F1445C"/>
    <w:rsid w:val="00F160CF"/>
    <w:rsid w:val="00F34E04"/>
    <w:rsid w:val="00F3618F"/>
    <w:rsid w:val="00F5175D"/>
    <w:rsid w:val="00F66DCA"/>
    <w:rsid w:val="00F80751"/>
    <w:rsid w:val="00FA62DB"/>
    <w:rsid w:val="00FD3C7E"/>
    <w:rsid w:val="00FD56F2"/>
    <w:rsid w:val="00FD7D33"/>
    <w:rsid w:val="00FF0E45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79EC"/>
  <w15:chartTrackingRefBased/>
  <w15:docId w15:val="{9B1DDE38-03DB-4623-A484-4181FFD3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BBD"/>
    <w:pPr>
      <w:ind w:left="720"/>
      <w:contextualSpacing/>
    </w:pPr>
  </w:style>
  <w:style w:type="character" w:customStyle="1" w:styleId="rvts23">
    <w:name w:val="rvts23"/>
    <w:basedOn w:val="a0"/>
    <w:rsid w:val="003D1768"/>
  </w:style>
  <w:style w:type="paragraph" w:customStyle="1" w:styleId="a4">
    <w:name w:val="Нормальний текст"/>
    <w:basedOn w:val="a"/>
    <w:rsid w:val="00C758E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F1445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table" w:styleId="a5">
    <w:name w:val="Table Grid"/>
    <w:basedOn w:val="a1"/>
    <w:uiPriority w:val="39"/>
    <w:rsid w:val="009F7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746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7460"/>
  </w:style>
  <w:style w:type="paragraph" w:styleId="a8">
    <w:name w:val="footer"/>
    <w:basedOn w:val="a"/>
    <w:link w:val="a9"/>
    <w:uiPriority w:val="99"/>
    <w:unhideWhenUsed/>
    <w:rsid w:val="00A6746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7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5D312-04DE-4904-A1EA-31791BAF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2777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23</cp:revision>
  <dcterms:created xsi:type="dcterms:W3CDTF">2021-12-15T11:20:00Z</dcterms:created>
  <dcterms:modified xsi:type="dcterms:W3CDTF">2022-01-05T08:37:00Z</dcterms:modified>
</cp:coreProperties>
</file>