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403" w:rsidRPr="0060771A" w:rsidRDefault="00293403" w:rsidP="00293403">
      <w:pPr>
        <w:jc w:val="center"/>
        <w:rPr>
          <w:b/>
          <w:color w:val="000000" w:themeColor="text1"/>
          <w:sz w:val="26"/>
          <w:szCs w:val="26"/>
        </w:rPr>
      </w:pPr>
      <w:r w:rsidRPr="0060771A">
        <w:rPr>
          <w:rFonts w:asciiTheme="minorHAnsi" w:hAnsiTheme="minorHAnsi"/>
          <w:sz w:val="22"/>
          <w:lang w:eastAsia="uk-UA"/>
        </w:rPr>
        <w:drawing>
          <wp:inline distT="0" distB="0" distL="0" distR="0" wp14:anchorId="7143A25F" wp14:editId="4AB8FC57">
            <wp:extent cx="2571750" cy="762000"/>
            <wp:effectExtent l="0" t="0" r="0" b="0"/>
            <wp:docPr id="1" name="Рисунок 1" descr="http://khoda.gov.ua/catalog/view/theme/default/ima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hoda.gov.ua/catalog/view/theme/default/image/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762000"/>
                    </a:xfrm>
                    <a:prstGeom prst="rect">
                      <a:avLst/>
                    </a:prstGeom>
                    <a:noFill/>
                    <a:ln>
                      <a:noFill/>
                    </a:ln>
                  </pic:spPr>
                </pic:pic>
              </a:graphicData>
            </a:graphic>
          </wp:inline>
        </w:drawing>
      </w:r>
    </w:p>
    <w:p w:rsidR="00293403" w:rsidRPr="0060771A" w:rsidRDefault="00293403" w:rsidP="00293403">
      <w:pPr>
        <w:jc w:val="center"/>
        <w:rPr>
          <w:b/>
          <w:color w:val="000000" w:themeColor="text1"/>
          <w:sz w:val="26"/>
          <w:szCs w:val="26"/>
        </w:rPr>
      </w:pPr>
    </w:p>
    <w:p w:rsidR="00293403" w:rsidRPr="0060771A" w:rsidRDefault="00293403" w:rsidP="00476264">
      <w:pPr>
        <w:ind w:firstLine="397"/>
        <w:jc w:val="center"/>
        <w:rPr>
          <w:b/>
          <w:sz w:val="24"/>
          <w:szCs w:val="24"/>
        </w:rPr>
      </w:pPr>
      <w:r w:rsidRPr="0060771A">
        <w:rPr>
          <w:b/>
          <w:sz w:val="24"/>
          <w:szCs w:val="24"/>
        </w:rPr>
        <w:t>ПАМ’ЯТКА</w:t>
      </w:r>
    </w:p>
    <w:p w:rsidR="00293403" w:rsidRPr="0060771A" w:rsidRDefault="00293403" w:rsidP="00476264">
      <w:pPr>
        <w:ind w:firstLine="397"/>
        <w:jc w:val="center"/>
        <w:rPr>
          <w:b/>
          <w:sz w:val="24"/>
          <w:szCs w:val="24"/>
        </w:rPr>
      </w:pPr>
      <w:r w:rsidRPr="0060771A">
        <w:rPr>
          <w:b/>
          <w:sz w:val="24"/>
          <w:szCs w:val="24"/>
        </w:rPr>
        <w:t xml:space="preserve">щодо </w:t>
      </w:r>
      <w:r w:rsidR="007063CB" w:rsidRPr="0060771A">
        <w:rPr>
          <w:b/>
          <w:sz w:val="24"/>
          <w:szCs w:val="24"/>
        </w:rPr>
        <w:t xml:space="preserve">судового </w:t>
      </w:r>
      <w:r w:rsidRPr="0060771A">
        <w:rPr>
          <w:b/>
          <w:sz w:val="24"/>
          <w:szCs w:val="24"/>
        </w:rPr>
        <w:t>оскарження дій</w:t>
      </w:r>
      <w:r w:rsidR="006A0D7B" w:rsidRPr="0060771A">
        <w:rPr>
          <w:b/>
          <w:sz w:val="24"/>
          <w:szCs w:val="24"/>
        </w:rPr>
        <w:t>, рішень чи бездіяльності</w:t>
      </w:r>
      <w:r w:rsidRPr="0060771A">
        <w:rPr>
          <w:b/>
          <w:sz w:val="24"/>
          <w:szCs w:val="24"/>
        </w:rPr>
        <w:t xml:space="preserve"> суб’єкта владних повноважень</w:t>
      </w:r>
    </w:p>
    <w:p w:rsidR="0065652C" w:rsidRPr="0060771A" w:rsidRDefault="0065652C" w:rsidP="00476264">
      <w:pPr>
        <w:ind w:firstLine="397"/>
        <w:jc w:val="both"/>
        <w:rPr>
          <w:sz w:val="24"/>
          <w:szCs w:val="24"/>
        </w:rPr>
      </w:pPr>
    </w:p>
    <w:p w:rsidR="007063CB" w:rsidRPr="0060771A" w:rsidRDefault="007063CB" w:rsidP="00476264">
      <w:pPr>
        <w:ind w:firstLine="397"/>
        <w:jc w:val="both"/>
        <w:rPr>
          <w:sz w:val="24"/>
          <w:szCs w:val="24"/>
        </w:rPr>
      </w:pPr>
      <w:r w:rsidRPr="0060771A">
        <w:rPr>
          <w:sz w:val="24"/>
          <w:szCs w:val="24"/>
        </w:rPr>
        <w:t>15</w:t>
      </w:r>
      <w:r w:rsidR="00476264" w:rsidRPr="0060771A">
        <w:rPr>
          <w:sz w:val="24"/>
          <w:szCs w:val="24"/>
        </w:rPr>
        <w:t xml:space="preserve"> грудня </w:t>
      </w:r>
      <w:r w:rsidRPr="0060771A">
        <w:rPr>
          <w:sz w:val="24"/>
          <w:szCs w:val="24"/>
        </w:rPr>
        <w:t xml:space="preserve">2017 </w:t>
      </w:r>
      <w:r w:rsidR="00476264" w:rsidRPr="0060771A">
        <w:rPr>
          <w:sz w:val="24"/>
          <w:szCs w:val="24"/>
        </w:rPr>
        <w:t xml:space="preserve">року </w:t>
      </w:r>
      <w:r w:rsidRPr="0060771A">
        <w:rPr>
          <w:sz w:val="24"/>
          <w:szCs w:val="24"/>
        </w:rPr>
        <w:t xml:space="preserve">вступили у силу </w:t>
      </w:r>
      <w:r w:rsidR="00476264" w:rsidRPr="0060771A">
        <w:rPr>
          <w:sz w:val="24"/>
          <w:szCs w:val="24"/>
        </w:rPr>
        <w:t>зміни до Кодексу адміністративного судочинства України (далі – КАСУ), зокрема в частині</w:t>
      </w:r>
      <w:r w:rsidRPr="0060771A">
        <w:rPr>
          <w:sz w:val="24"/>
          <w:szCs w:val="24"/>
        </w:rPr>
        <w:t xml:space="preserve"> порядк</w:t>
      </w:r>
      <w:r w:rsidR="00476264" w:rsidRPr="0060771A">
        <w:rPr>
          <w:sz w:val="24"/>
          <w:szCs w:val="24"/>
        </w:rPr>
        <w:t>у</w:t>
      </w:r>
      <w:r w:rsidRPr="0060771A">
        <w:rPr>
          <w:sz w:val="24"/>
          <w:szCs w:val="24"/>
        </w:rPr>
        <w:t xml:space="preserve"> подання позовних заяв.</w:t>
      </w:r>
    </w:p>
    <w:p w:rsidR="0065652C" w:rsidRPr="0060771A" w:rsidRDefault="0065652C" w:rsidP="00476264">
      <w:pPr>
        <w:ind w:firstLine="397"/>
        <w:jc w:val="both"/>
        <w:rPr>
          <w:sz w:val="24"/>
          <w:szCs w:val="24"/>
        </w:rPr>
      </w:pPr>
    </w:p>
    <w:p w:rsidR="006D5E45" w:rsidRPr="0060771A" w:rsidRDefault="0060771A" w:rsidP="00476264">
      <w:pPr>
        <w:ind w:firstLine="397"/>
        <w:jc w:val="both"/>
        <w:rPr>
          <w:b/>
          <w:sz w:val="24"/>
          <w:szCs w:val="24"/>
          <w:u w:val="single"/>
        </w:rPr>
      </w:pPr>
      <w:r w:rsidRPr="0060771A">
        <w:rPr>
          <w:b/>
          <w:sz w:val="24"/>
          <w:szCs w:val="24"/>
          <w:u w:val="single"/>
        </w:rPr>
        <w:t>1.</w:t>
      </w:r>
      <w:r w:rsidR="006D5E45" w:rsidRPr="0060771A">
        <w:rPr>
          <w:b/>
          <w:sz w:val="24"/>
          <w:szCs w:val="24"/>
          <w:u w:val="single"/>
        </w:rPr>
        <w:t>Як оформити та подати позовну заяву?</w:t>
      </w:r>
    </w:p>
    <w:p w:rsidR="00C82AA0" w:rsidRPr="0060771A" w:rsidRDefault="00476264" w:rsidP="00476264">
      <w:pPr>
        <w:ind w:firstLine="397"/>
        <w:jc w:val="both"/>
        <w:rPr>
          <w:sz w:val="24"/>
          <w:szCs w:val="24"/>
        </w:rPr>
      </w:pPr>
      <w:r w:rsidRPr="0060771A">
        <w:rPr>
          <w:sz w:val="24"/>
          <w:szCs w:val="24"/>
        </w:rPr>
        <w:t>П</w:t>
      </w:r>
      <w:r w:rsidR="00C82AA0" w:rsidRPr="0060771A">
        <w:rPr>
          <w:sz w:val="24"/>
          <w:szCs w:val="24"/>
        </w:rPr>
        <w:t>озовна заява подається у письмовій формі та повинна містити наступні відомості:</w:t>
      </w:r>
    </w:p>
    <w:p w:rsidR="00C82AA0" w:rsidRPr="0060771A" w:rsidRDefault="00C82AA0" w:rsidP="00476264">
      <w:pPr>
        <w:pStyle w:val="a8"/>
        <w:numPr>
          <w:ilvl w:val="0"/>
          <w:numId w:val="9"/>
        </w:numPr>
        <w:ind w:left="0" w:firstLine="284"/>
        <w:jc w:val="both"/>
        <w:rPr>
          <w:sz w:val="24"/>
          <w:szCs w:val="24"/>
        </w:rPr>
      </w:pPr>
      <w:r w:rsidRPr="0060771A">
        <w:rPr>
          <w:b/>
          <w:sz w:val="24"/>
          <w:szCs w:val="24"/>
        </w:rPr>
        <w:t>Найменування суду</w:t>
      </w:r>
      <w:r w:rsidRPr="0060771A">
        <w:rPr>
          <w:sz w:val="24"/>
          <w:szCs w:val="24"/>
        </w:rPr>
        <w:t xml:space="preserve"> першої інстанції, до якого </w:t>
      </w:r>
      <w:r w:rsidR="006A0D7B" w:rsidRPr="0060771A">
        <w:rPr>
          <w:sz w:val="24"/>
          <w:szCs w:val="24"/>
        </w:rPr>
        <w:t>вона подається;</w:t>
      </w:r>
    </w:p>
    <w:p w:rsidR="00C82AA0" w:rsidRPr="0060771A" w:rsidRDefault="00C82AA0" w:rsidP="00476264">
      <w:pPr>
        <w:pStyle w:val="a8"/>
        <w:numPr>
          <w:ilvl w:val="0"/>
          <w:numId w:val="9"/>
        </w:numPr>
        <w:ind w:left="0" w:firstLine="284"/>
        <w:jc w:val="both"/>
        <w:rPr>
          <w:sz w:val="24"/>
          <w:szCs w:val="24"/>
        </w:rPr>
      </w:pPr>
      <w:r w:rsidRPr="0060771A">
        <w:rPr>
          <w:b/>
          <w:sz w:val="24"/>
          <w:szCs w:val="24"/>
        </w:rPr>
        <w:t>Повне найменування (для юридичних осіб) або ім’я (прізвище, ім’я та по батькові - для фізичних осіб) сторін та інших учасників справи</w:t>
      </w:r>
      <w:r w:rsidRPr="0060771A">
        <w:rPr>
          <w:sz w:val="24"/>
          <w:szCs w:val="24"/>
        </w:rPr>
        <w:t xml:space="preserve">, </w:t>
      </w:r>
      <w:r w:rsidRPr="0060771A">
        <w:rPr>
          <w:sz w:val="22"/>
          <w:szCs w:val="22"/>
        </w:rPr>
        <w:t xml:space="preserve">їх місцезнаходження (для юридичних осіб) або місце проживання чи перебування (для фізичних осіб); поштовий індекс; ідентифікаційний код юридичної особи в Єдиному державному реєстрі підприємств і організацій України (для юридичних осіб, зареєстрованих за законодавством України); реєстраційний номер облікової картки </w:t>
      </w:r>
      <w:r w:rsidRPr="0060771A">
        <w:rPr>
          <w:sz w:val="22"/>
          <w:szCs w:val="22"/>
        </w:rPr>
        <w:t>платника податків (для фізичних осіб) за його наявності або номер і серія паспорта для фізичних осіб - громадян України (якщо такі відомості відомі позивачу), відомі номери засобів зв’язку, офіційна електронна адреса або адреса еле</w:t>
      </w:r>
      <w:r w:rsidR="006A0D7B" w:rsidRPr="0060771A">
        <w:rPr>
          <w:sz w:val="22"/>
          <w:szCs w:val="22"/>
        </w:rPr>
        <w:t>ктронної пошти;</w:t>
      </w:r>
    </w:p>
    <w:p w:rsidR="00C82AA0" w:rsidRPr="0060771A" w:rsidRDefault="00C82AA0" w:rsidP="00476264">
      <w:pPr>
        <w:pStyle w:val="a8"/>
        <w:numPr>
          <w:ilvl w:val="0"/>
          <w:numId w:val="9"/>
        </w:numPr>
        <w:ind w:left="0" w:firstLine="284"/>
        <w:jc w:val="both"/>
        <w:rPr>
          <w:sz w:val="22"/>
          <w:szCs w:val="22"/>
        </w:rPr>
      </w:pPr>
      <w:r w:rsidRPr="0060771A">
        <w:rPr>
          <w:b/>
          <w:sz w:val="24"/>
          <w:szCs w:val="24"/>
        </w:rPr>
        <w:t>Зазначення ціни позову, обґрунтований розрахунок суми, що стягується.</w:t>
      </w:r>
      <w:r w:rsidRPr="0060771A">
        <w:rPr>
          <w:sz w:val="24"/>
          <w:szCs w:val="24"/>
        </w:rPr>
        <w:t xml:space="preserve"> </w:t>
      </w:r>
      <w:r w:rsidRPr="0060771A">
        <w:rPr>
          <w:sz w:val="22"/>
          <w:szCs w:val="22"/>
        </w:rPr>
        <w:t>Розрахунок є обов’язковим, якщо у позовній заяві містяться вимоги про відшкодування шкоди, заподіяної оскаржуваним рішенням, діями, бездіяльністю суб’єкта владн</w:t>
      </w:r>
      <w:r w:rsidR="006A0D7B" w:rsidRPr="0060771A">
        <w:rPr>
          <w:sz w:val="22"/>
          <w:szCs w:val="22"/>
        </w:rPr>
        <w:t>их повноважень</w:t>
      </w:r>
      <w:r w:rsidRPr="0060771A">
        <w:rPr>
          <w:sz w:val="22"/>
          <w:szCs w:val="22"/>
        </w:rPr>
        <w:t>;</w:t>
      </w:r>
    </w:p>
    <w:p w:rsidR="00C82AA0" w:rsidRPr="0060771A" w:rsidRDefault="00C82AA0" w:rsidP="00476264">
      <w:pPr>
        <w:pStyle w:val="a8"/>
        <w:numPr>
          <w:ilvl w:val="0"/>
          <w:numId w:val="9"/>
        </w:numPr>
        <w:ind w:left="0" w:firstLine="284"/>
        <w:jc w:val="both"/>
        <w:rPr>
          <w:sz w:val="22"/>
          <w:szCs w:val="22"/>
        </w:rPr>
      </w:pPr>
      <w:r w:rsidRPr="0060771A">
        <w:rPr>
          <w:b/>
          <w:sz w:val="24"/>
          <w:szCs w:val="24"/>
        </w:rPr>
        <w:t>Зміст позовних вимог і виклад обставин, якими позивач обґрунтовує свої вимоги.</w:t>
      </w:r>
      <w:r w:rsidRPr="0060771A">
        <w:rPr>
          <w:sz w:val="24"/>
          <w:szCs w:val="24"/>
        </w:rPr>
        <w:t xml:space="preserve"> </w:t>
      </w:r>
      <w:r w:rsidRPr="0060771A">
        <w:rPr>
          <w:sz w:val="22"/>
          <w:szCs w:val="22"/>
        </w:rPr>
        <w:t>У разі подання позову до декількох відповідачів - зміст позовних вимог щодо кожного з відповідачів повинен бути виписаний окремо до кожного</w:t>
      </w:r>
      <w:bookmarkStart w:id="0" w:name="n10703"/>
      <w:bookmarkEnd w:id="0"/>
      <w:r w:rsidR="006A0D7B" w:rsidRPr="0060771A">
        <w:rPr>
          <w:sz w:val="22"/>
          <w:szCs w:val="22"/>
        </w:rPr>
        <w:t>;</w:t>
      </w:r>
    </w:p>
    <w:p w:rsidR="004D24D9" w:rsidRPr="0060771A" w:rsidRDefault="00C82AA0" w:rsidP="00476264">
      <w:pPr>
        <w:pStyle w:val="a8"/>
        <w:numPr>
          <w:ilvl w:val="0"/>
          <w:numId w:val="9"/>
        </w:numPr>
        <w:ind w:left="0" w:firstLine="284"/>
        <w:jc w:val="both"/>
        <w:rPr>
          <w:sz w:val="22"/>
          <w:szCs w:val="22"/>
        </w:rPr>
      </w:pPr>
      <w:r w:rsidRPr="0060771A">
        <w:rPr>
          <w:b/>
          <w:sz w:val="24"/>
          <w:szCs w:val="24"/>
        </w:rPr>
        <w:t>Виклад обставин, якими позивач обґрунтовує свої вимоги</w:t>
      </w:r>
      <w:r w:rsidR="00476264" w:rsidRPr="0060771A">
        <w:rPr>
          <w:b/>
          <w:sz w:val="24"/>
          <w:szCs w:val="24"/>
        </w:rPr>
        <w:t xml:space="preserve">, </w:t>
      </w:r>
      <w:r w:rsidR="00476264" w:rsidRPr="0060771A">
        <w:rPr>
          <w:sz w:val="24"/>
          <w:szCs w:val="24"/>
        </w:rPr>
        <w:t>т</w:t>
      </w:r>
      <w:r w:rsidR="004D24D9" w:rsidRPr="0060771A">
        <w:rPr>
          <w:sz w:val="24"/>
          <w:szCs w:val="24"/>
        </w:rPr>
        <w:t xml:space="preserve">акож зазначення доказів, що підтверджують вказані обставини. </w:t>
      </w:r>
      <w:r w:rsidR="004D24D9" w:rsidRPr="0060771A">
        <w:rPr>
          <w:sz w:val="22"/>
          <w:szCs w:val="22"/>
        </w:rPr>
        <w:t>Кожна сторона повинна довести ті обставини, на яких ґрунтуються її вимоги та заперечення.</w:t>
      </w:r>
      <w:bookmarkStart w:id="1" w:name="n10119"/>
      <w:bookmarkEnd w:id="1"/>
      <w:r w:rsidR="004D24D9" w:rsidRPr="0060771A">
        <w:rPr>
          <w:sz w:val="22"/>
          <w:szCs w:val="22"/>
        </w:rPr>
        <w:t xml:space="preserve"> В адміністративних справах вказаної категорії обов’язок щодо доказування правомірності свого рішення, дії чи бездіяльності покладається на відповідача.</w:t>
      </w:r>
    </w:p>
    <w:p w:rsidR="00476264" w:rsidRPr="0060771A" w:rsidRDefault="00D17481" w:rsidP="00476264">
      <w:pPr>
        <w:jc w:val="both"/>
        <w:rPr>
          <w:sz w:val="24"/>
          <w:szCs w:val="24"/>
        </w:rPr>
      </w:pPr>
      <w:r w:rsidRPr="0060771A">
        <w:rPr>
          <w:b/>
          <w:sz w:val="24"/>
          <w:szCs w:val="24"/>
          <w:u w:val="single"/>
        </w:rPr>
        <w:t>До позовної заяви додається</w:t>
      </w:r>
      <w:r w:rsidR="00476264" w:rsidRPr="0060771A">
        <w:rPr>
          <w:sz w:val="24"/>
          <w:szCs w:val="24"/>
        </w:rPr>
        <w:t>:</w:t>
      </w:r>
      <w:r w:rsidRPr="0060771A">
        <w:rPr>
          <w:sz w:val="24"/>
          <w:szCs w:val="24"/>
        </w:rPr>
        <w:t xml:space="preserve"> </w:t>
      </w:r>
    </w:p>
    <w:p w:rsidR="00476264" w:rsidRPr="0060771A" w:rsidRDefault="00D17481" w:rsidP="00476264">
      <w:pPr>
        <w:pStyle w:val="a8"/>
        <w:numPr>
          <w:ilvl w:val="0"/>
          <w:numId w:val="10"/>
        </w:numPr>
        <w:ind w:left="0" w:firstLine="426"/>
        <w:jc w:val="both"/>
        <w:rPr>
          <w:sz w:val="24"/>
          <w:szCs w:val="24"/>
        </w:rPr>
      </w:pPr>
      <w:r w:rsidRPr="0060771A">
        <w:rPr>
          <w:sz w:val="24"/>
          <w:szCs w:val="24"/>
        </w:rPr>
        <w:t>пере</w:t>
      </w:r>
      <w:r w:rsidR="00061611" w:rsidRPr="0060771A">
        <w:rPr>
          <w:sz w:val="24"/>
          <w:szCs w:val="24"/>
        </w:rPr>
        <w:t>лік документів та інших доказів</w:t>
      </w:r>
      <w:r w:rsidR="00476264" w:rsidRPr="0060771A">
        <w:rPr>
          <w:sz w:val="24"/>
          <w:szCs w:val="24"/>
        </w:rPr>
        <w:t>;</w:t>
      </w:r>
    </w:p>
    <w:p w:rsidR="00476264" w:rsidRPr="0060771A" w:rsidRDefault="00476264" w:rsidP="00476264">
      <w:pPr>
        <w:pStyle w:val="a8"/>
        <w:numPr>
          <w:ilvl w:val="0"/>
          <w:numId w:val="10"/>
        </w:numPr>
        <w:ind w:left="0" w:firstLine="426"/>
        <w:jc w:val="both"/>
        <w:rPr>
          <w:sz w:val="24"/>
          <w:szCs w:val="24"/>
        </w:rPr>
      </w:pPr>
      <w:r w:rsidRPr="0060771A">
        <w:rPr>
          <w:sz w:val="24"/>
          <w:szCs w:val="24"/>
        </w:rPr>
        <w:t xml:space="preserve">документ </w:t>
      </w:r>
      <w:r w:rsidR="00D17481" w:rsidRPr="0060771A">
        <w:rPr>
          <w:sz w:val="24"/>
          <w:szCs w:val="24"/>
        </w:rPr>
        <w:t>про сплату судового збору або документи, які підтверджують підстави звільнення від сплати судового збору відповідно до закону</w:t>
      </w:r>
      <w:r w:rsidRPr="0060771A">
        <w:rPr>
          <w:sz w:val="24"/>
          <w:szCs w:val="24"/>
        </w:rPr>
        <w:t>;</w:t>
      </w:r>
    </w:p>
    <w:p w:rsidR="00D17481" w:rsidRPr="0060771A" w:rsidRDefault="00476264" w:rsidP="00476264">
      <w:pPr>
        <w:pStyle w:val="a8"/>
        <w:numPr>
          <w:ilvl w:val="0"/>
          <w:numId w:val="10"/>
        </w:numPr>
        <w:ind w:left="0" w:firstLine="426"/>
        <w:jc w:val="both"/>
        <w:rPr>
          <w:sz w:val="24"/>
          <w:szCs w:val="24"/>
        </w:rPr>
      </w:pPr>
      <w:r w:rsidRPr="0060771A">
        <w:rPr>
          <w:sz w:val="24"/>
          <w:szCs w:val="24"/>
        </w:rPr>
        <w:t>в</w:t>
      </w:r>
      <w:r w:rsidR="00061611" w:rsidRPr="0060771A">
        <w:rPr>
          <w:sz w:val="24"/>
          <w:szCs w:val="24"/>
        </w:rPr>
        <w:t>ласне письмове підтвердження</w:t>
      </w:r>
      <w:r w:rsidRPr="0060771A">
        <w:rPr>
          <w:sz w:val="24"/>
          <w:szCs w:val="24"/>
        </w:rPr>
        <w:t xml:space="preserve"> позивача про те, </w:t>
      </w:r>
      <w:r w:rsidR="00061611" w:rsidRPr="0060771A">
        <w:rPr>
          <w:sz w:val="24"/>
          <w:szCs w:val="24"/>
        </w:rPr>
        <w:t>що ним не подано іншого позову (позовів) до цього самого відповідача (відповідачів) з тим самим предметом та з тих самих підстав</w:t>
      </w:r>
    </w:p>
    <w:p w:rsidR="00D17481" w:rsidRPr="0060771A" w:rsidRDefault="00D17481" w:rsidP="00476264">
      <w:pPr>
        <w:ind w:firstLine="397"/>
        <w:jc w:val="both"/>
        <w:rPr>
          <w:sz w:val="24"/>
          <w:szCs w:val="24"/>
        </w:rPr>
      </w:pPr>
    </w:p>
    <w:p w:rsidR="00824751" w:rsidRPr="0060771A" w:rsidRDefault="0060771A" w:rsidP="00476264">
      <w:pPr>
        <w:ind w:firstLine="397"/>
        <w:jc w:val="both"/>
        <w:rPr>
          <w:b/>
          <w:sz w:val="24"/>
          <w:szCs w:val="24"/>
          <w:u w:val="single"/>
        </w:rPr>
      </w:pPr>
      <w:r w:rsidRPr="0060771A">
        <w:rPr>
          <w:b/>
          <w:sz w:val="24"/>
          <w:szCs w:val="24"/>
          <w:u w:val="single"/>
        </w:rPr>
        <w:t xml:space="preserve">2. </w:t>
      </w:r>
      <w:r w:rsidR="00F5447A" w:rsidRPr="0060771A">
        <w:rPr>
          <w:b/>
          <w:sz w:val="24"/>
          <w:szCs w:val="24"/>
          <w:u w:val="single"/>
        </w:rPr>
        <w:t>Як</w:t>
      </w:r>
      <w:r w:rsidRPr="0060771A">
        <w:rPr>
          <w:b/>
          <w:sz w:val="24"/>
          <w:szCs w:val="24"/>
          <w:u w:val="single"/>
        </w:rPr>
        <w:t>і способи</w:t>
      </w:r>
      <w:r w:rsidR="00F5447A" w:rsidRPr="0060771A">
        <w:rPr>
          <w:b/>
          <w:sz w:val="24"/>
          <w:szCs w:val="24"/>
          <w:u w:val="single"/>
        </w:rPr>
        <w:t xml:space="preserve"> захист</w:t>
      </w:r>
      <w:r w:rsidRPr="0060771A">
        <w:rPr>
          <w:b/>
          <w:sz w:val="24"/>
          <w:szCs w:val="24"/>
          <w:u w:val="single"/>
        </w:rPr>
        <w:t>у порушених</w:t>
      </w:r>
      <w:r w:rsidR="00F5447A" w:rsidRPr="0060771A">
        <w:rPr>
          <w:b/>
          <w:sz w:val="24"/>
          <w:szCs w:val="24"/>
          <w:u w:val="single"/>
        </w:rPr>
        <w:t xml:space="preserve"> прав?</w:t>
      </w:r>
    </w:p>
    <w:p w:rsidR="000A7D6F" w:rsidRPr="0060771A" w:rsidRDefault="006D5E45" w:rsidP="00476264">
      <w:pPr>
        <w:ind w:firstLine="397"/>
        <w:jc w:val="both"/>
        <w:rPr>
          <w:sz w:val="24"/>
          <w:szCs w:val="24"/>
        </w:rPr>
      </w:pPr>
      <w:r w:rsidRPr="0060771A">
        <w:rPr>
          <w:sz w:val="24"/>
          <w:szCs w:val="24"/>
        </w:rPr>
        <w:t>Адміністративний позов може містити вимоги про:</w:t>
      </w:r>
    </w:p>
    <w:p w:rsidR="00F5447A" w:rsidRPr="0060771A" w:rsidRDefault="00F5447A" w:rsidP="00476264">
      <w:pPr>
        <w:ind w:firstLine="397"/>
        <w:jc w:val="both"/>
        <w:rPr>
          <w:sz w:val="24"/>
          <w:szCs w:val="24"/>
        </w:rPr>
      </w:pPr>
      <w:r w:rsidRPr="0060771A">
        <w:rPr>
          <w:sz w:val="24"/>
          <w:szCs w:val="24"/>
        </w:rPr>
        <w:t xml:space="preserve">1) визнання протиправним та нечинним нормативно-правового </w:t>
      </w:r>
      <w:proofErr w:type="spellStart"/>
      <w:r w:rsidRPr="0060771A">
        <w:rPr>
          <w:sz w:val="24"/>
          <w:szCs w:val="24"/>
        </w:rPr>
        <w:t>акта</w:t>
      </w:r>
      <w:proofErr w:type="spellEnd"/>
      <w:r w:rsidRPr="0060771A">
        <w:rPr>
          <w:sz w:val="24"/>
          <w:szCs w:val="24"/>
        </w:rPr>
        <w:t xml:space="preserve"> чи окремих його положень;</w:t>
      </w:r>
    </w:p>
    <w:p w:rsidR="00F5447A" w:rsidRPr="0060771A" w:rsidRDefault="000A7D6F" w:rsidP="00476264">
      <w:pPr>
        <w:ind w:firstLine="397"/>
        <w:jc w:val="both"/>
        <w:rPr>
          <w:sz w:val="24"/>
          <w:szCs w:val="24"/>
        </w:rPr>
      </w:pPr>
      <w:r w:rsidRPr="0060771A">
        <w:rPr>
          <w:sz w:val="24"/>
          <w:szCs w:val="24"/>
        </w:rPr>
        <w:t>2)</w:t>
      </w:r>
      <w:r w:rsidR="00F5447A" w:rsidRPr="0060771A">
        <w:rPr>
          <w:sz w:val="24"/>
          <w:szCs w:val="24"/>
        </w:rPr>
        <w:t xml:space="preserve">визнання протиправним та скасування індивідуального </w:t>
      </w:r>
      <w:proofErr w:type="spellStart"/>
      <w:r w:rsidR="00F5447A" w:rsidRPr="0060771A">
        <w:rPr>
          <w:sz w:val="24"/>
          <w:szCs w:val="24"/>
        </w:rPr>
        <w:t>акта</w:t>
      </w:r>
      <w:proofErr w:type="spellEnd"/>
      <w:r w:rsidR="00F5447A" w:rsidRPr="0060771A">
        <w:rPr>
          <w:sz w:val="24"/>
          <w:szCs w:val="24"/>
        </w:rPr>
        <w:t xml:space="preserve"> чи окремих його положень;</w:t>
      </w:r>
    </w:p>
    <w:p w:rsidR="00F5447A" w:rsidRPr="0060771A" w:rsidRDefault="00F5447A" w:rsidP="00476264">
      <w:pPr>
        <w:ind w:firstLine="397"/>
        <w:jc w:val="both"/>
        <w:rPr>
          <w:sz w:val="24"/>
          <w:szCs w:val="24"/>
        </w:rPr>
      </w:pPr>
      <w:r w:rsidRPr="0060771A">
        <w:rPr>
          <w:sz w:val="24"/>
          <w:szCs w:val="24"/>
        </w:rPr>
        <w:t>3) визнання дій суб’єкта владних повноважень протиправними та зобов’язання утриматися від вчинення певних дій;</w:t>
      </w:r>
    </w:p>
    <w:p w:rsidR="00F5447A" w:rsidRPr="0060771A" w:rsidRDefault="000A7D6F" w:rsidP="00476264">
      <w:pPr>
        <w:ind w:firstLine="397"/>
        <w:jc w:val="both"/>
        <w:rPr>
          <w:sz w:val="24"/>
          <w:szCs w:val="24"/>
        </w:rPr>
      </w:pPr>
      <w:r w:rsidRPr="0060771A">
        <w:rPr>
          <w:sz w:val="24"/>
          <w:szCs w:val="24"/>
        </w:rPr>
        <w:t>4)</w:t>
      </w:r>
      <w:r w:rsidR="00F5447A" w:rsidRPr="0060771A">
        <w:rPr>
          <w:sz w:val="24"/>
          <w:szCs w:val="24"/>
        </w:rPr>
        <w:t>визнання бездіяльності суб’єкта владних повноважень протиправною та зобов’язання вчинити певні дії;</w:t>
      </w:r>
    </w:p>
    <w:p w:rsidR="00F5447A" w:rsidRPr="0060771A" w:rsidRDefault="00F5447A" w:rsidP="00476264">
      <w:pPr>
        <w:ind w:firstLine="397"/>
        <w:jc w:val="both"/>
        <w:rPr>
          <w:sz w:val="24"/>
          <w:szCs w:val="24"/>
        </w:rPr>
      </w:pPr>
      <w:r w:rsidRPr="0060771A">
        <w:rPr>
          <w:sz w:val="24"/>
          <w:szCs w:val="24"/>
        </w:rPr>
        <w:t>5) встановлення наявності чи відсутності компетенції (повноважень) суб’єкта владних повноважень;</w:t>
      </w:r>
    </w:p>
    <w:p w:rsidR="00F5447A" w:rsidRPr="0060771A" w:rsidRDefault="00F5447A" w:rsidP="00476264">
      <w:pPr>
        <w:ind w:firstLine="397"/>
        <w:jc w:val="both"/>
        <w:rPr>
          <w:sz w:val="24"/>
          <w:szCs w:val="24"/>
        </w:rPr>
      </w:pPr>
      <w:r w:rsidRPr="0060771A">
        <w:rPr>
          <w:sz w:val="24"/>
          <w:szCs w:val="24"/>
        </w:rPr>
        <w:t>6) прийняття судом одного з рішень, зазна</w:t>
      </w:r>
      <w:r w:rsidR="00811127" w:rsidRPr="0060771A">
        <w:rPr>
          <w:sz w:val="24"/>
          <w:szCs w:val="24"/>
        </w:rPr>
        <w:t>чених у пунктах 1-4</w:t>
      </w:r>
      <w:r w:rsidRPr="0060771A">
        <w:rPr>
          <w:sz w:val="24"/>
          <w:szCs w:val="24"/>
        </w:rPr>
        <w:t xml:space="preserve"> та стягнення з відповідача - суб’єкта владних повноважень коштів на відшкодування шкоди, заподіяної його протиправними рішеннями, дією або бездіяльністю.</w:t>
      </w:r>
    </w:p>
    <w:p w:rsidR="00EC218F" w:rsidRPr="0060771A" w:rsidRDefault="00EC218F" w:rsidP="00476264">
      <w:pPr>
        <w:ind w:firstLine="397"/>
        <w:jc w:val="both"/>
        <w:rPr>
          <w:sz w:val="24"/>
          <w:szCs w:val="24"/>
        </w:rPr>
      </w:pPr>
    </w:p>
    <w:p w:rsidR="0060771A" w:rsidRPr="0060771A" w:rsidRDefault="0060771A" w:rsidP="00476264">
      <w:pPr>
        <w:ind w:firstLine="397"/>
        <w:jc w:val="both"/>
        <w:rPr>
          <w:sz w:val="24"/>
          <w:szCs w:val="24"/>
        </w:rPr>
      </w:pPr>
    </w:p>
    <w:p w:rsidR="00CE7E52" w:rsidRPr="0060771A" w:rsidRDefault="0060771A" w:rsidP="00476264">
      <w:pPr>
        <w:ind w:firstLine="397"/>
        <w:jc w:val="both"/>
        <w:rPr>
          <w:b/>
          <w:sz w:val="24"/>
          <w:szCs w:val="24"/>
          <w:u w:val="single"/>
        </w:rPr>
      </w:pPr>
      <w:r w:rsidRPr="0060771A">
        <w:rPr>
          <w:b/>
          <w:sz w:val="24"/>
          <w:szCs w:val="24"/>
          <w:u w:val="single"/>
        </w:rPr>
        <w:lastRenderedPageBreak/>
        <w:t xml:space="preserve">3. </w:t>
      </w:r>
      <w:r w:rsidR="00CE7E52" w:rsidRPr="0060771A">
        <w:rPr>
          <w:b/>
          <w:sz w:val="24"/>
          <w:szCs w:val="24"/>
          <w:u w:val="single"/>
        </w:rPr>
        <w:t>Які строки звернення до суду?</w:t>
      </w:r>
    </w:p>
    <w:p w:rsidR="0060771A" w:rsidRPr="0060771A" w:rsidRDefault="006D5E45" w:rsidP="00476264">
      <w:pPr>
        <w:ind w:firstLine="397"/>
        <w:jc w:val="both"/>
        <w:rPr>
          <w:sz w:val="24"/>
          <w:szCs w:val="24"/>
        </w:rPr>
      </w:pPr>
      <w:r w:rsidRPr="0060771A">
        <w:rPr>
          <w:sz w:val="24"/>
          <w:szCs w:val="24"/>
        </w:rPr>
        <w:t xml:space="preserve">Для звернення до адміністративного суду за захистом прав, свобод та інтересів особи встановлюється </w:t>
      </w:r>
      <w:r w:rsidRPr="0060771A">
        <w:rPr>
          <w:b/>
          <w:sz w:val="24"/>
          <w:szCs w:val="24"/>
        </w:rPr>
        <w:t>шестимісячний строк</w:t>
      </w:r>
      <w:r w:rsidRPr="0060771A">
        <w:rPr>
          <w:sz w:val="24"/>
          <w:szCs w:val="24"/>
        </w:rPr>
        <w:t>, який, якщо не встановлено інше, обчислюється з дня, коли особа дізналася або повинна була дізнатися про порушення своїх прав, свобод чи інтересів.</w:t>
      </w:r>
      <w:r w:rsidR="00E547F5" w:rsidRPr="0060771A">
        <w:rPr>
          <w:sz w:val="24"/>
          <w:szCs w:val="24"/>
        </w:rPr>
        <w:t xml:space="preserve"> </w:t>
      </w:r>
    </w:p>
    <w:p w:rsidR="006D5E45" w:rsidRPr="0060771A" w:rsidRDefault="0060771A" w:rsidP="00476264">
      <w:pPr>
        <w:ind w:firstLine="397"/>
        <w:jc w:val="both"/>
        <w:rPr>
          <w:sz w:val="24"/>
          <w:szCs w:val="24"/>
        </w:rPr>
      </w:pPr>
      <w:r w:rsidRPr="0060771A">
        <w:rPr>
          <w:sz w:val="24"/>
          <w:szCs w:val="24"/>
        </w:rPr>
        <w:t xml:space="preserve">Для </w:t>
      </w:r>
      <w:r w:rsidR="006D5E45" w:rsidRPr="0060771A">
        <w:rPr>
          <w:sz w:val="24"/>
          <w:szCs w:val="24"/>
        </w:rPr>
        <w:t xml:space="preserve">звернення до суду у справах щодо прийняття громадян на публічну службу, її проходження, звільнення з публічної служби встановлюється </w:t>
      </w:r>
      <w:r w:rsidR="006D5E45" w:rsidRPr="0060771A">
        <w:rPr>
          <w:b/>
          <w:sz w:val="24"/>
          <w:szCs w:val="24"/>
        </w:rPr>
        <w:t>місячний строк</w:t>
      </w:r>
      <w:r w:rsidR="006D5E45" w:rsidRPr="0060771A">
        <w:rPr>
          <w:sz w:val="24"/>
          <w:szCs w:val="24"/>
        </w:rPr>
        <w:t>.</w:t>
      </w:r>
    </w:p>
    <w:p w:rsidR="0060771A" w:rsidRPr="0060771A" w:rsidRDefault="0060771A" w:rsidP="00476264">
      <w:pPr>
        <w:ind w:firstLine="397"/>
        <w:jc w:val="both"/>
        <w:rPr>
          <w:sz w:val="24"/>
          <w:szCs w:val="24"/>
        </w:rPr>
      </w:pPr>
    </w:p>
    <w:p w:rsidR="00CE7E52" w:rsidRPr="0060771A" w:rsidRDefault="0060771A" w:rsidP="00476264">
      <w:pPr>
        <w:ind w:firstLine="397"/>
        <w:jc w:val="both"/>
        <w:rPr>
          <w:b/>
          <w:sz w:val="24"/>
          <w:szCs w:val="24"/>
          <w:u w:val="single"/>
        </w:rPr>
      </w:pPr>
      <w:r w:rsidRPr="0060771A">
        <w:rPr>
          <w:b/>
          <w:sz w:val="24"/>
          <w:szCs w:val="24"/>
          <w:u w:val="single"/>
        </w:rPr>
        <w:t xml:space="preserve">4. </w:t>
      </w:r>
      <w:r w:rsidR="00E547F5" w:rsidRPr="0060771A">
        <w:rPr>
          <w:b/>
          <w:sz w:val="24"/>
          <w:szCs w:val="24"/>
          <w:u w:val="single"/>
        </w:rPr>
        <w:t>В</w:t>
      </w:r>
      <w:r w:rsidR="00CE7E52" w:rsidRPr="0060771A">
        <w:rPr>
          <w:b/>
          <w:sz w:val="24"/>
          <w:szCs w:val="24"/>
          <w:u w:val="single"/>
        </w:rPr>
        <w:t>ідкриття судом провадження у справі.</w:t>
      </w:r>
    </w:p>
    <w:p w:rsidR="00824751" w:rsidRPr="0060771A" w:rsidRDefault="00824751" w:rsidP="00476264">
      <w:pPr>
        <w:ind w:firstLine="397"/>
        <w:jc w:val="both"/>
        <w:rPr>
          <w:sz w:val="24"/>
          <w:szCs w:val="24"/>
        </w:rPr>
      </w:pPr>
      <w:r w:rsidRPr="0060771A">
        <w:rPr>
          <w:sz w:val="24"/>
          <w:szCs w:val="24"/>
        </w:rPr>
        <w:t>Питання про відкриття провадження в адміністративній спр</w:t>
      </w:r>
      <w:r w:rsidR="006A0D7B" w:rsidRPr="0060771A">
        <w:rPr>
          <w:sz w:val="24"/>
          <w:szCs w:val="24"/>
        </w:rPr>
        <w:t xml:space="preserve">аві суддя вирішує протягом </w:t>
      </w:r>
      <w:r w:rsidR="006A0D7B" w:rsidRPr="0060771A">
        <w:rPr>
          <w:b/>
          <w:sz w:val="24"/>
          <w:szCs w:val="24"/>
        </w:rPr>
        <w:t>п’ят</w:t>
      </w:r>
      <w:r w:rsidR="0060771A" w:rsidRPr="0060771A">
        <w:rPr>
          <w:b/>
          <w:sz w:val="24"/>
          <w:szCs w:val="24"/>
        </w:rPr>
        <w:t>и</w:t>
      </w:r>
      <w:r w:rsidRPr="0060771A">
        <w:rPr>
          <w:sz w:val="24"/>
          <w:szCs w:val="24"/>
        </w:rPr>
        <w:t xml:space="preserve"> днів з дня надходження позовної заяви до адміністративного суду або закінчення строку, встановленого для усунення недоліків</w:t>
      </w:r>
      <w:r w:rsidR="007B136D" w:rsidRPr="0060771A">
        <w:rPr>
          <w:sz w:val="24"/>
          <w:szCs w:val="24"/>
        </w:rPr>
        <w:t>.</w:t>
      </w:r>
      <w:r w:rsidRPr="0060771A">
        <w:rPr>
          <w:sz w:val="24"/>
          <w:szCs w:val="24"/>
        </w:rPr>
        <w:t xml:space="preserve"> Про залишення позовної заяви без розгляду, відкриття провадження у справі чи відмову у відкритті провадження у справі суддя постановляє ухвалу.</w:t>
      </w:r>
    </w:p>
    <w:p w:rsidR="00824751" w:rsidRPr="0060771A" w:rsidRDefault="00824751" w:rsidP="00476264">
      <w:pPr>
        <w:ind w:firstLine="397"/>
        <w:jc w:val="both"/>
        <w:rPr>
          <w:sz w:val="24"/>
          <w:szCs w:val="24"/>
        </w:rPr>
      </w:pPr>
      <w:r w:rsidRPr="0060771A">
        <w:rPr>
          <w:sz w:val="24"/>
          <w:szCs w:val="24"/>
        </w:rPr>
        <w:t>Ухвала про залишення позовної заяви без розгляду може бути оскаржена особою, яка подала позовну заяву. </w:t>
      </w:r>
    </w:p>
    <w:p w:rsidR="0060771A" w:rsidRDefault="0060771A" w:rsidP="00476264">
      <w:pPr>
        <w:ind w:firstLine="397"/>
        <w:jc w:val="both"/>
        <w:rPr>
          <w:sz w:val="24"/>
          <w:szCs w:val="24"/>
        </w:rPr>
      </w:pPr>
    </w:p>
    <w:p w:rsidR="0060771A" w:rsidRDefault="0060771A" w:rsidP="00476264">
      <w:pPr>
        <w:ind w:firstLine="397"/>
        <w:jc w:val="both"/>
        <w:rPr>
          <w:sz w:val="24"/>
          <w:szCs w:val="24"/>
        </w:rPr>
      </w:pPr>
    </w:p>
    <w:p w:rsidR="0060771A" w:rsidRDefault="0060771A" w:rsidP="00476264">
      <w:pPr>
        <w:ind w:firstLine="397"/>
        <w:jc w:val="both"/>
        <w:rPr>
          <w:sz w:val="24"/>
          <w:szCs w:val="24"/>
        </w:rPr>
      </w:pPr>
    </w:p>
    <w:p w:rsidR="0060771A" w:rsidRDefault="0060771A" w:rsidP="00476264">
      <w:pPr>
        <w:ind w:firstLine="397"/>
        <w:jc w:val="both"/>
        <w:rPr>
          <w:sz w:val="24"/>
          <w:szCs w:val="24"/>
        </w:rPr>
      </w:pPr>
    </w:p>
    <w:p w:rsidR="0060771A" w:rsidRDefault="0060771A" w:rsidP="00476264">
      <w:pPr>
        <w:ind w:firstLine="397"/>
        <w:jc w:val="both"/>
        <w:rPr>
          <w:sz w:val="24"/>
          <w:szCs w:val="24"/>
        </w:rPr>
      </w:pPr>
    </w:p>
    <w:p w:rsidR="007B136D" w:rsidRPr="0060771A" w:rsidRDefault="007B136D" w:rsidP="0060771A">
      <w:pPr>
        <w:ind w:firstLine="397"/>
        <w:jc w:val="center"/>
        <w:rPr>
          <w:b/>
          <w:sz w:val="24"/>
          <w:szCs w:val="24"/>
          <w:u w:val="single"/>
        </w:rPr>
      </w:pPr>
      <w:r w:rsidRPr="0060771A">
        <w:rPr>
          <w:b/>
          <w:sz w:val="24"/>
          <w:szCs w:val="24"/>
          <w:u w:val="single"/>
        </w:rPr>
        <w:t>ПАМ</w:t>
      </w:r>
      <w:r w:rsidR="0060771A" w:rsidRPr="0060771A">
        <w:rPr>
          <w:b/>
          <w:sz w:val="24"/>
          <w:szCs w:val="24"/>
          <w:u w:val="single"/>
        </w:rPr>
        <w:t>’</w:t>
      </w:r>
      <w:r w:rsidRPr="0060771A">
        <w:rPr>
          <w:b/>
          <w:sz w:val="24"/>
          <w:szCs w:val="24"/>
          <w:u w:val="single"/>
        </w:rPr>
        <w:t>ЯТАЙТЕ:</w:t>
      </w:r>
    </w:p>
    <w:p w:rsidR="0060771A" w:rsidRDefault="0060771A" w:rsidP="0060771A">
      <w:pPr>
        <w:pStyle w:val="a8"/>
        <w:numPr>
          <w:ilvl w:val="0"/>
          <w:numId w:val="11"/>
        </w:numPr>
        <w:ind w:left="0" w:firstLine="142"/>
        <w:jc w:val="both"/>
        <w:rPr>
          <w:sz w:val="24"/>
          <w:szCs w:val="24"/>
        </w:rPr>
      </w:pPr>
      <w:r w:rsidRPr="0060771A">
        <w:rPr>
          <w:sz w:val="24"/>
          <w:szCs w:val="24"/>
        </w:rPr>
        <w:t>Кожна особа має право в порядку, встановленому цим Кодексом, звернутися до адміністративного суду, якщо вважає, що рішенням, дією чи бездіяльністю суб’єкта владних повноважень порушені її права, свободи або законні інтереси, і просити про їх захист.</w:t>
      </w:r>
    </w:p>
    <w:p w:rsidR="0060771A" w:rsidRPr="0060771A" w:rsidRDefault="0060771A" w:rsidP="0060771A">
      <w:pPr>
        <w:pStyle w:val="a8"/>
        <w:numPr>
          <w:ilvl w:val="0"/>
          <w:numId w:val="11"/>
        </w:numPr>
        <w:ind w:left="0" w:firstLine="142"/>
        <w:jc w:val="both"/>
        <w:rPr>
          <w:sz w:val="24"/>
          <w:szCs w:val="24"/>
        </w:rPr>
      </w:pPr>
      <w:r w:rsidRPr="0060771A">
        <w:rPr>
          <w:sz w:val="24"/>
          <w:szCs w:val="24"/>
        </w:rPr>
        <w:t>Сторони можуть досягнути пр</w:t>
      </w:r>
      <w:bookmarkStart w:id="2" w:name="_GoBack"/>
      <w:bookmarkEnd w:id="2"/>
      <w:r w:rsidRPr="0060771A">
        <w:rPr>
          <w:sz w:val="24"/>
          <w:szCs w:val="24"/>
        </w:rPr>
        <w:t xml:space="preserve">имирення на будь-якій стадії адміністративного процесу, що є підставою для закриття провадження в адміністративній справі, якщо ці дії не суперечать закону або не порушують чиї-небудь права, свободи чи інтереси. </w:t>
      </w:r>
    </w:p>
    <w:p w:rsidR="0060771A" w:rsidRPr="0060771A" w:rsidRDefault="0060771A" w:rsidP="0060771A">
      <w:pPr>
        <w:pStyle w:val="a8"/>
        <w:numPr>
          <w:ilvl w:val="0"/>
          <w:numId w:val="11"/>
        </w:numPr>
        <w:ind w:left="0" w:firstLine="142"/>
        <w:jc w:val="both"/>
        <w:rPr>
          <w:sz w:val="24"/>
          <w:szCs w:val="24"/>
        </w:rPr>
      </w:pPr>
      <w:r w:rsidRPr="0060771A">
        <w:rPr>
          <w:sz w:val="24"/>
          <w:szCs w:val="24"/>
        </w:rPr>
        <w:t xml:space="preserve">Позивач може протягом всього часу судового розгляду збільшити або зменшити розмір позовних вимог, подавши письмову заяву, яка приєднується до справи. До початку судового розгляду справи по суті позивач може змінити підставу або предмет адміністративного позову, подавши письмову заяву, яка приєднується до справи. </w:t>
      </w:r>
    </w:p>
    <w:p w:rsidR="00293403" w:rsidRPr="0060771A" w:rsidRDefault="00293403" w:rsidP="00476264">
      <w:pPr>
        <w:ind w:firstLine="397"/>
        <w:jc w:val="both"/>
      </w:pPr>
    </w:p>
    <w:p w:rsidR="00293403" w:rsidRPr="0060771A" w:rsidRDefault="00293403" w:rsidP="00293403">
      <w:pPr>
        <w:shd w:val="clear" w:color="auto" w:fill="FFFFFF"/>
        <w:ind w:firstLine="709"/>
        <w:jc w:val="both"/>
        <w:rPr>
          <w:rFonts w:eastAsia="Times New Roman"/>
          <w:color w:val="000000" w:themeColor="text1"/>
          <w:lang w:eastAsia="uk-UA"/>
        </w:rPr>
      </w:pPr>
    </w:p>
    <w:p w:rsidR="00293403" w:rsidRPr="0060771A" w:rsidRDefault="00293403" w:rsidP="00293403">
      <w:pPr>
        <w:shd w:val="clear" w:color="auto" w:fill="FFFFFF"/>
        <w:ind w:firstLine="709"/>
        <w:jc w:val="both"/>
        <w:rPr>
          <w:rFonts w:eastAsia="Times New Roman"/>
          <w:color w:val="000000" w:themeColor="text1"/>
          <w:lang w:eastAsia="uk-UA"/>
        </w:rPr>
      </w:pPr>
    </w:p>
    <w:p w:rsidR="00293403" w:rsidRPr="0060771A" w:rsidRDefault="00293403" w:rsidP="00293403">
      <w:pPr>
        <w:shd w:val="clear" w:color="auto" w:fill="FFFFFF"/>
        <w:ind w:firstLine="709"/>
        <w:jc w:val="both"/>
        <w:rPr>
          <w:rFonts w:eastAsia="Times New Roman"/>
          <w:color w:val="000000" w:themeColor="text1"/>
          <w:lang w:eastAsia="uk-UA"/>
        </w:rPr>
      </w:pPr>
    </w:p>
    <w:p w:rsidR="00293403" w:rsidRPr="0060771A" w:rsidRDefault="00293403" w:rsidP="00293403">
      <w:pPr>
        <w:shd w:val="clear" w:color="auto" w:fill="FFFFFF"/>
        <w:ind w:firstLine="709"/>
        <w:jc w:val="both"/>
        <w:rPr>
          <w:rFonts w:eastAsia="Times New Roman"/>
          <w:color w:val="000000" w:themeColor="text1"/>
          <w:lang w:eastAsia="uk-UA"/>
        </w:rPr>
      </w:pPr>
    </w:p>
    <w:p w:rsidR="00293403" w:rsidRPr="0060771A" w:rsidRDefault="00293403" w:rsidP="00293403">
      <w:pPr>
        <w:shd w:val="clear" w:color="auto" w:fill="FFFFFF"/>
        <w:ind w:firstLine="709"/>
        <w:jc w:val="both"/>
        <w:rPr>
          <w:rFonts w:eastAsia="Times New Roman"/>
          <w:color w:val="000000" w:themeColor="text1"/>
          <w:lang w:eastAsia="uk-UA"/>
        </w:rPr>
      </w:pPr>
    </w:p>
    <w:p w:rsidR="00293403" w:rsidRPr="0060771A" w:rsidRDefault="00293403" w:rsidP="00293403">
      <w:pPr>
        <w:shd w:val="clear" w:color="auto" w:fill="FFFFFF"/>
        <w:ind w:firstLine="709"/>
        <w:jc w:val="both"/>
        <w:rPr>
          <w:rFonts w:eastAsia="Times New Roman"/>
          <w:color w:val="000000" w:themeColor="text1"/>
          <w:lang w:eastAsia="uk-UA"/>
        </w:rPr>
      </w:pPr>
    </w:p>
    <w:p w:rsidR="00293403" w:rsidRPr="0060771A" w:rsidRDefault="00293403" w:rsidP="00293403">
      <w:pPr>
        <w:shd w:val="clear" w:color="auto" w:fill="FFFFFF"/>
        <w:ind w:firstLine="709"/>
        <w:jc w:val="both"/>
        <w:rPr>
          <w:rFonts w:eastAsia="Times New Roman"/>
          <w:color w:val="000000" w:themeColor="text1"/>
          <w:lang w:eastAsia="uk-UA"/>
        </w:rPr>
      </w:pPr>
    </w:p>
    <w:p w:rsidR="00293403" w:rsidRPr="0060771A" w:rsidRDefault="00293403" w:rsidP="006A0D7B">
      <w:pPr>
        <w:shd w:val="clear" w:color="auto" w:fill="FFFFFF"/>
        <w:jc w:val="both"/>
        <w:rPr>
          <w:rFonts w:eastAsia="Times New Roman"/>
          <w:color w:val="000000" w:themeColor="text1"/>
          <w:lang w:eastAsia="uk-UA"/>
        </w:rPr>
      </w:pPr>
    </w:p>
    <w:p w:rsidR="006A0D7B" w:rsidRPr="0060771A" w:rsidRDefault="006A0D7B" w:rsidP="006A0D7B">
      <w:pPr>
        <w:shd w:val="clear" w:color="auto" w:fill="FFFFFF"/>
        <w:jc w:val="both"/>
        <w:rPr>
          <w:rFonts w:eastAsia="Times New Roman"/>
          <w:color w:val="000000" w:themeColor="text1"/>
          <w:lang w:eastAsia="uk-UA"/>
        </w:rPr>
      </w:pPr>
    </w:p>
    <w:p w:rsidR="00607D32" w:rsidRPr="0060771A" w:rsidRDefault="00607D32" w:rsidP="00061611">
      <w:pPr>
        <w:shd w:val="clear" w:color="auto" w:fill="FFFFFF"/>
        <w:jc w:val="both"/>
        <w:rPr>
          <w:rFonts w:eastAsia="Times New Roman"/>
          <w:color w:val="000000" w:themeColor="text1"/>
          <w:lang w:eastAsia="uk-UA"/>
        </w:rPr>
      </w:pPr>
    </w:p>
    <w:p w:rsidR="00293403" w:rsidRPr="0060771A" w:rsidRDefault="00293403" w:rsidP="00293403">
      <w:pPr>
        <w:shd w:val="clear" w:color="auto" w:fill="FFFFFF"/>
        <w:ind w:firstLine="709"/>
        <w:jc w:val="both"/>
        <w:rPr>
          <w:rFonts w:eastAsia="Times New Roman"/>
          <w:color w:val="000000" w:themeColor="text1"/>
          <w:sz w:val="26"/>
          <w:szCs w:val="26"/>
          <w:lang w:eastAsia="uk-UA"/>
        </w:rPr>
      </w:pPr>
      <w:r w:rsidRPr="0060771A">
        <w:rPr>
          <w:rFonts w:eastAsia="Times New Roman"/>
          <w:sz w:val="24"/>
          <w:szCs w:val="24"/>
          <w:lang w:eastAsia="uk-UA"/>
        </w:rPr>
        <w:drawing>
          <wp:inline distT="0" distB="0" distL="0" distR="0" wp14:anchorId="06FF2550" wp14:editId="05471661">
            <wp:extent cx="2477689" cy="841375"/>
            <wp:effectExtent l="0" t="0" r="0" b="0"/>
            <wp:docPr id="3" name="Рисунок 3" descr="http://khoda.gov.ua/catalog/view/theme/default/ima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hoda.gov.ua/catalog/view/theme/default/image/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456" cy="863708"/>
                    </a:xfrm>
                    <a:prstGeom prst="rect">
                      <a:avLst/>
                    </a:prstGeom>
                    <a:noFill/>
                    <a:ln>
                      <a:noFill/>
                    </a:ln>
                  </pic:spPr>
                </pic:pic>
              </a:graphicData>
            </a:graphic>
          </wp:inline>
        </w:drawing>
      </w:r>
    </w:p>
    <w:p w:rsidR="00293403" w:rsidRPr="0060771A" w:rsidRDefault="00293403" w:rsidP="00293403">
      <w:pPr>
        <w:shd w:val="clear" w:color="auto" w:fill="FFFFFF"/>
        <w:ind w:firstLine="709"/>
        <w:jc w:val="both"/>
        <w:rPr>
          <w:rFonts w:eastAsia="Times New Roman"/>
          <w:color w:val="000000" w:themeColor="text1"/>
          <w:sz w:val="26"/>
          <w:szCs w:val="26"/>
          <w:lang w:eastAsia="uk-UA"/>
        </w:rPr>
      </w:pPr>
    </w:p>
    <w:p w:rsidR="00293403" w:rsidRPr="0060771A" w:rsidRDefault="00293403" w:rsidP="00293403">
      <w:pPr>
        <w:shd w:val="clear" w:color="auto" w:fill="FFFFFF"/>
        <w:ind w:firstLine="709"/>
        <w:jc w:val="both"/>
        <w:rPr>
          <w:rFonts w:eastAsia="Times New Roman"/>
          <w:color w:val="000000" w:themeColor="text1"/>
          <w:sz w:val="26"/>
          <w:szCs w:val="26"/>
          <w:lang w:eastAsia="uk-UA"/>
        </w:rPr>
      </w:pPr>
    </w:p>
    <w:p w:rsidR="00293403" w:rsidRPr="0060771A" w:rsidRDefault="00293403" w:rsidP="00293403">
      <w:pPr>
        <w:shd w:val="clear" w:color="auto" w:fill="FFFFFF"/>
        <w:ind w:firstLine="709"/>
        <w:jc w:val="both"/>
        <w:rPr>
          <w:rFonts w:eastAsia="Times New Roman"/>
          <w:color w:val="000000" w:themeColor="text1"/>
          <w:sz w:val="26"/>
          <w:szCs w:val="26"/>
          <w:lang w:eastAsia="uk-UA"/>
        </w:rPr>
      </w:pPr>
    </w:p>
    <w:p w:rsidR="00293403" w:rsidRPr="0060771A" w:rsidRDefault="00293403" w:rsidP="00293403">
      <w:pPr>
        <w:shd w:val="clear" w:color="auto" w:fill="FFFFFF"/>
        <w:ind w:firstLine="709"/>
        <w:jc w:val="both"/>
        <w:rPr>
          <w:rFonts w:eastAsia="Times New Roman"/>
          <w:color w:val="000000" w:themeColor="text1"/>
          <w:sz w:val="26"/>
          <w:szCs w:val="26"/>
          <w:lang w:eastAsia="uk-UA"/>
        </w:rPr>
      </w:pPr>
    </w:p>
    <w:p w:rsidR="00293403" w:rsidRPr="0060771A" w:rsidRDefault="00293403" w:rsidP="00293403">
      <w:pPr>
        <w:shd w:val="clear" w:color="auto" w:fill="FFFFFF"/>
        <w:ind w:firstLine="709"/>
        <w:jc w:val="both"/>
        <w:rPr>
          <w:rFonts w:eastAsia="Times New Roman"/>
          <w:color w:val="000000" w:themeColor="text1"/>
          <w:sz w:val="26"/>
          <w:szCs w:val="26"/>
          <w:lang w:eastAsia="uk-UA"/>
        </w:rPr>
      </w:pPr>
    </w:p>
    <w:tbl>
      <w:tblPr>
        <w:tblStyle w:val="a7"/>
        <w:tblW w:w="439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16"/>
        <w:gridCol w:w="2132"/>
      </w:tblGrid>
      <w:tr w:rsidR="00293403" w:rsidRPr="0060771A" w:rsidTr="00A229F7">
        <w:trPr>
          <w:trHeight w:val="2132"/>
        </w:trPr>
        <w:tc>
          <w:tcPr>
            <w:tcW w:w="2830" w:type="dxa"/>
          </w:tcPr>
          <w:p w:rsidR="00293403" w:rsidRPr="0060771A" w:rsidRDefault="00293403" w:rsidP="00293403">
            <w:pPr>
              <w:jc w:val="both"/>
              <w:rPr>
                <w:rFonts w:eastAsia="Times New Roman"/>
                <w:color w:val="000000" w:themeColor="text1"/>
                <w:sz w:val="26"/>
                <w:szCs w:val="26"/>
                <w:lang w:val="uk-UA" w:eastAsia="uk-UA"/>
              </w:rPr>
            </w:pPr>
            <w:r w:rsidRPr="0060771A">
              <w:rPr>
                <w:rFonts w:eastAsia="Times New Roman"/>
                <w:sz w:val="24"/>
                <w:szCs w:val="24"/>
                <w:lang w:val="uk-UA" w:eastAsia="uk-UA"/>
              </w:rPr>
              <w:drawing>
                <wp:inline distT="0" distB="0" distL="0" distR="0" wp14:anchorId="13323014" wp14:editId="076B2285">
                  <wp:extent cx="1524000" cy="1085215"/>
                  <wp:effectExtent l="0" t="0" r="0" b="635"/>
                  <wp:docPr id="5" name="Рисунок 5" descr="Я МАЮ ПРА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 МАЮ ПРАВ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2354" cy="1091164"/>
                          </a:xfrm>
                          <a:prstGeom prst="rect">
                            <a:avLst/>
                          </a:prstGeom>
                          <a:noFill/>
                          <a:ln>
                            <a:noFill/>
                          </a:ln>
                        </pic:spPr>
                      </pic:pic>
                    </a:graphicData>
                  </a:graphic>
                </wp:inline>
              </w:drawing>
            </w:r>
          </w:p>
        </w:tc>
        <w:tc>
          <w:tcPr>
            <w:tcW w:w="1565" w:type="dxa"/>
            <w:shd w:val="clear" w:color="auto" w:fill="auto"/>
          </w:tcPr>
          <w:p w:rsidR="00293403" w:rsidRPr="0060771A" w:rsidRDefault="00293403" w:rsidP="00293403">
            <w:pPr>
              <w:rPr>
                <w:rFonts w:cstheme="minorHAnsi"/>
                <w:b/>
                <w:sz w:val="44"/>
                <w:szCs w:val="44"/>
                <w:lang w:val="uk-UA"/>
              </w:rPr>
            </w:pPr>
            <w:r w:rsidRPr="0060771A">
              <w:rPr>
                <w:rFonts w:cstheme="minorHAnsi"/>
                <w:b/>
                <w:sz w:val="44"/>
                <w:szCs w:val="44"/>
                <w:lang w:val="uk-UA"/>
              </w:rPr>
              <w:t>Знаю!</w:t>
            </w:r>
            <w:r w:rsidRPr="0060771A">
              <w:rPr>
                <w:rFonts w:cstheme="minorHAnsi"/>
                <w:b/>
                <w:sz w:val="44"/>
                <w:szCs w:val="44"/>
                <w:lang w:val="uk-UA"/>
              </w:rPr>
              <w:br/>
              <w:t>Дію!</w:t>
            </w:r>
            <w:r w:rsidRPr="0060771A">
              <w:rPr>
                <w:rFonts w:cstheme="minorHAnsi"/>
                <w:b/>
                <w:sz w:val="44"/>
                <w:szCs w:val="44"/>
                <w:lang w:val="uk-UA"/>
              </w:rPr>
              <w:br/>
              <w:t>Захищаю!</w:t>
            </w:r>
          </w:p>
        </w:tc>
      </w:tr>
    </w:tbl>
    <w:p w:rsidR="00293403" w:rsidRPr="0060771A" w:rsidRDefault="00293403" w:rsidP="0060771A">
      <w:pPr>
        <w:shd w:val="clear" w:color="auto" w:fill="FFFFFF"/>
        <w:ind w:firstLine="709"/>
        <w:jc w:val="both"/>
        <w:rPr>
          <w:rFonts w:eastAsia="Times New Roman"/>
          <w:color w:val="000000" w:themeColor="text1"/>
          <w:sz w:val="26"/>
          <w:szCs w:val="26"/>
          <w:lang w:eastAsia="uk-UA"/>
        </w:rPr>
      </w:pPr>
    </w:p>
    <w:p w:rsidR="00293403" w:rsidRPr="0060771A" w:rsidRDefault="00293403" w:rsidP="0060771A">
      <w:pPr>
        <w:shd w:val="clear" w:color="auto" w:fill="FFFFFF"/>
        <w:jc w:val="both"/>
        <w:rPr>
          <w:rFonts w:eastAsia="Times New Roman"/>
          <w:color w:val="000000" w:themeColor="text1"/>
          <w:sz w:val="26"/>
          <w:szCs w:val="26"/>
          <w:lang w:eastAsia="uk-UA"/>
        </w:rPr>
      </w:pPr>
    </w:p>
    <w:p w:rsidR="00293403" w:rsidRPr="0060771A" w:rsidRDefault="007063CB" w:rsidP="0060771A">
      <w:pPr>
        <w:ind w:left="426"/>
        <w:jc w:val="center"/>
        <w:rPr>
          <w:b/>
          <w:color w:val="000000" w:themeColor="text1"/>
          <w:sz w:val="36"/>
          <w:szCs w:val="36"/>
        </w:rPr>
      </w:pPr>
      <w:r w:rsidRPr="0060771A">
        <w:rPr>
          <w:b/>
          <w:color w:val="000000" w:themeColor="text1"/>
          <w:sz w:val="36"/>
          <w:szCs w:val="36"/>
        </w:rPr>
        <w:t>С</w:t>
      </w:r>
      <w:r w:rsidR="0060771A" w:rsidRPr="0060771A">
        <w:rPr>
          <w:b/>
          <w:color w:val="000000" w:themeColor="text1"/>
          <w:sz w:val="36"/>
          <w:szCs w:val="36"/>
        </w:rPr>
        <w:t>УДОВЕ ОСКАРЖЕННЯ ДІЙ, РІШЕНЬ ЧИ БЕЗДІЯЛЬНОСТІ СУБ</w:t>
      </w:r>
      <w:r w:rsidR="00293403" w:rsidRPr="0060771A">
        <w:rPr>
          <w:b/>
          <w:color w:val="000000" w:themeColor="text1"/>
          <w:sz w:val="36"/>
          <w:szCs w:val="36"/>
        </w:rPr>
        <w:t>’</w:t>
      </w:r>
      <w:r w:rsidR="0060771A" w:rsidRPr="0060771A">
        <w:rPr>
          <w:b/>
          <w:color w:val="000000" w:themeColor="text1"/>
          <w:sz w:val="36"/>
          <w:szCs w:val="36"/>
        </w:rPr>
        <w:t>ЄКТА ВЛАДНИХ ПОВНОВАЖЕНЬ</w:t>
      </w:r>
    </w:p>
    <w:p w:rsidR="00293403" w:rsidRPr="0060771A" w:rsidRDefault="00293403" w:rsidP="0060771A">
      <w:pPr>
        <w:rPr>
          <w:rFonts w:asciiTheme="minorHAnsi" w:hAnsiTheme="minorHAnsi"/>
          <w:sz w:val="26"/>
          <w:szCs w:val="26"/>
        </w:rPr>
      </w:pPr>
    </w:p>
    <w:p w:rsidR="007B136D" w:rsidRPr="0060771A" w:rsidRDefault="007B136D" w:rsidP="0060771A">
      <w:pPr>
        <w:rPr>
          <w:rFonts w:asciiTheme="minorHAnsi" w:hAnsiTheme="minorHAnsi"/>
          <w:sz w:val="26"/>
          <w:szCs w:val="26"/>
        </w:rPr>
      </w:pPr>
    </w:p>
    <w:p w:rsidR="007B136D" w:rsidRPr="0060771A" w:rsidRDefault="007B136D" w:rsidP="0060771A">
      <w:pPr>
        <w:rPr>
          <w:rFonts w:asciiTheme="minorHAnsi" w:hAnsiTheme="minorHAnsi"/>
          <w:sz w:val="26"/>
          <w:szCs w:val="26"/>
        </w:rPr>
      </w:pPr>
    </w:p>
    <w:p w:rsidR="00293403" w:rsidRPr="0060771A" w:rsidRDefault="00293403" w:rsidP="0060771A">
      <w:pPr>
        <w:jc w:val="center"/>
        <w:rPr>
          <w:sz w:val="24"/>
          <w:szCs w:val="24"/>
        </w:rPr>
      </w:pPr>
      <w:r w:rsidRPr="0060771A">
        <w:rPr>
          <w:sz w:val="24"/>
          <w:szCs w:val="24"/>
        </w:rPr>
        <w:t>Херсон</w:t>
      </w:r>
    </w:p>
    <w:p w:rsidR="00B55276" w:rsidRPr="0060771A" w:rsidRDefault="00293403" w:rsidP="0060771A">
      <w:pPr>
        <w:jc w:val="center"/>
        <w:rPr>
          <w:sz w:val="24"/>
          <w:szCs w:val="24"/>
        </w:rPr>
      </w:pPr>
      <w:r w:rsidRPr="0060771A">
        <w:rPr>
          <w:sz w:val="24"/>
          <w:szCs w:val="24"/>
        </w:rPr>
        <w:t>2018</w:t>
      </w:r>
    </w:p>
    <w:sectPr w:rsidR="00B55276" w:rsidRPr="0060771A" w:rsidSect="00476264">
      <w:pgSz w:w="16838" w:h="11906" w:orient="landscape"/>
      <w:pgMar w:top="1134" w:right="851" w:bottom="1134" w:left="851" w:header="709" w:footer="709" w:gutter="0"/>
      <w:cols w:num="3" w:space="1119"/>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1915"/>
    <w:multiLevelType w:val="hybridMultilevel"/>
    <w:tmpl w:val="E8C681F8"/>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2335E94"/>
    <w:multiLevelType w:val="hybridMultilevel"/>
    <w:tmpl w:val="1A84BA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690476"/>
    <w:multiLevelType w:val="hybridMultilevel"/>
    <w:tmpl w:val="DE9EEB5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06A440E"/>
    <w:multiLevelType w:val="hybridMultilevel"/>
    <w:tmpl w:val="3DAECFBC"/>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5B40BA6"/>
    <w:multiLevelType w:val="hybridMultilevel"/>
    <w:tmpl w:val="1250E31C"/>
    <w:lvl w:ilvl="0" w:tplc="B1940E96">
      <w:start w:val="1"/>
      <w:numFmt w:val="decimal"/>
      <w:lvlText w:val="%1."/>
      <w:lvlJc w:val="left"/>
      <w:pPr>
        <w:ind w:left="720" w:hanging="360"/>
      </w:pPr>
      <w:rPr>
        <w:rFonts w:hint="default"/>
        <w:sz w:val="24"/>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FC10157"/>
    <w:multiLevelType w:val="hybridMultilevel"/>
    <w:tmpl w:val="05828AA0"/>
    <w:lvl w:ilvl="0" w:tplc="0422000D">
      <w:start w:val="1"/>
      <w:numFmt w:val="bullet"/>
      <w:lvlText w:val=""/>
      <w:lvlJc w:val="left"/>
      <w:pPr>
        <w:ind w:left="1117" w:hanging="360"/>
      </w:pPr>
      <w:rPr>
        <w:rFonts w:ascii="Wingdings" w:hAnsi="Wingdings" w:hint="default"/>
      </w:rPr>
    </w:lvl>
    <w:lvl w:ilvl="1" w:tplc="04220003" w:tentative="1">
      <w:start w:val="1"/>
      <w:numFmt w:val="bullet"/>
      <w:lvlText w:val="o"/>
      <w:lvlJc w:val="left"/>
      <w:pPr>
        <w:ind w:left="1837" w:hanging="360"/>
      </w:pPr>
      <w:rPr>
        <w:rFonts w:ascii="Courier New" w:hAnsi="Courier New" w:cs="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cs="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cs="Courier New" w:hint="default"/>
      </w:rPr>
    </w:lvl>
    <w:lvl w:ilvl="8" w:tplc="04220005" w:tentative="1">
      <w:start w:val="1"/>
      <w:numFmt w:val="bullet"/>
      <w:lvlText w:val=""/>
      <w:lvlJc w:val="left"/>
      <w:pPr>
        <w:ind w:left="6877" w:hanging="360"/>
      </w:pPr>
      <w:rPr>
        <w:rFonts w:ascii="Wingdings" w:hAnsi="Wingdings" w:hint="default"/>
      </w:rPr>
    </w:lvl>
  </w:abstractNum>
  <w:abstractNum w:abstractNumId="6" w15:restartNumberingAfterBreak="0">
    <w:nsid w:val="62E53EC0"/>
    <w:multiLevelType w:val="hybridMultilevel"/>
    <w:tmpl w:val="382E96A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15:restartNumberingAfterBreak="0">
    <w:nsid w:val="676B4C3E"/>
    <w:multiLevelType w:val="hybridMultilevel"/>
    <w:tmpl w:val="792AA8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7B272A2"/>
    <w:multiLevelType w:val="hybridMultilevel"/>
    <w:tmpl w:val="13CA9176"/>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15:restartNumberingAfterBreak="0">
    <w:nsid w:val="7A1A159A"/>
    <w:multiLevelType w:val="hybridMultilevel"/>
    <w:tmpl w:val="DCCE4D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A1B22D2"/>
    <w:multiLevelType w:val="hybridMultilevel"/>
    <w:tmpl w:val="29C865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1"/>
  </w:num>
  <w:num w:numId="5">
    <w:abstractNumId w:val="10"/>
  </w:num>
  <w:num w:numId="6">
    <w:abstractNumId w:val="2"/>
  </w:num>
  <w:num w:numId="7">
    <w:abstractNumId w:val="6"/>
  </w:num>
  <w:num w:numId="8">
    <w:abstractNumId w:val="8"/>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A0B"/>
    <w:rsid w:val="00061611"/>
    <w:rsid w:val="000A7D6F"/>
    <w:rsid w:val="000D53C2"/>
    <w:rsid w:val="00293403"/>
    <w:rsid w:val="0032605F"/>
    <w:rsid w:val="00370640"/>
    <w:rsid w:val="004011D1"/>
    <w:rsid w:val="00476264"/>
    <w:rsid w:val="004D24D9"/>
    <w:rsid w:val="0060771A"/>
    <w:rsid w:val="00607D32"/>
    <w:rsid w:val="0065652C"/>
    <w:rsid w:val="00690B8E"/>
    <w:rsid w:val="006A0D7B"/>
    <w:rsid w:val="006D5E45"/>
    <w:rsid w:val="007063CB"/>
    <w:rsid w:val="00736E21"/>
    <w:rsid w:val="007B136D"/>
    <w:rsid w:val="007D1315"/>
    <w:rsid w:val="00811127"/>
    <w:rsid w:val="00824751"/>
    <w:rsid w:val="00887063"/>
    <w:rsid w:val="008C176E"/>
    <w:rsid w:val="0094489A"/>
    <w:rsid w:val="00A01601"/>
    <w:rsid w:val="00B55276"/>
    <w:rsid w:val="00C443BF"/>
    <w:rsid w:val="00C82AA0"/>
    <w:rsid w:val="00C85C09"/>
    <w:rsid w:val="00C9300F"/>
    <w:rsid w:val="00CD1A0B"/>
    <w:rsid w:val="00CE7E52"/>
    <w:rsid w:val="00D17481"/>
    <w:rsid w:val="00D45F54"/>
    <w:rsid w:val="00E547F5"/>
    <w:rsid w:val="00EC218F"/>
    <w:rsid w:val="00F13535"/>
    <w:rsid w:val="00F40021"/>
    <w:rsid w:val="00F5447A"/>
    <w:rsid w:val="00F614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F80A"/>
  <w15:chartTrackingRefBased/>
  <w15:docId w15:val="{D0AE5AD8-7B5D-4B1F-8B9A-5C91AD07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6D5E45"/>
    <w:pPr>
      <w:spacing w:before="100" w:beforeAutospacing="1" w:after="100" w:afterAutospacing="1"/>
    </w:pPr>
    <w:rPr>
      <w:rFonts w:eastAsia="Times New Roman"/>
      <w:sz w:val="24"/>
      <w:szCs w:val="24"/>
      <w:lang w:eastAsia="uk-UA"/>
    </w:rPr>
  </w:style>
  <w:style w:type="character" w:styleId="a3">
    <w:name w:val="Strong"/>
    <w:basedOn w:val="a0"/>
    <w:uiPriority w:val="22"/>
    <w:qFormat/>
    <w:rsid w:val="006D5E45"/>
    <w:rPr>
      <w:b/>
      <w:bCs/>
    </w:rPr>
  </w:style>
  <w:style w:type="paragraph" w:customStyle="1" w:styleId="rtejustify">
    <w:name w:val="rtejustify"/>
    <w:basedOn w:val="a"/>
    <w:rsid w:val="006D5E45"/>
    <w:pPr>
      <w:spacing w:before="100" w:beforeAutospacing="1" w:after="100" w:afterAutospacing="1"/>
    </w:pPr>
    <w:rPr>
      <w:rFonts w:eastAsia="Times New Roman"/>
      <w:sz w:val="24"/>
      <w:szCs w:val="24"/>
      <w:lang w:eastAsia="uk-UA"/>
    </w:rPr>
  </w:style>
  <w:style w:type="paragraph" w:styleId="a4">
    <w:name w:val="Balloon Text"/>
    <w:basedOn w:val="a"/>
    <w:link w:val="a5"/>
    <w:uiPriority w:val="99"/>
    <w:semiHidden/>
    <w:unhideWhenUsed/>
    <w:rsid w:val="00F614E0"/>
    <w:rPr>
      <w:rFonts w:ascii="Segoe UI" w:hAnsi="Segoe UI" w:cs="Segoe UI"/>
      <w:sz w:val="18"/>
      <w:szCs w:val="18"/>
    </w:rPr>
  </w:style>
  <w:style w:type="character" w:customStyle="1" w:styleId="a5">
    <w:name w:val="Текст выноски Знак"/>
    <w:basedOn w:val="a0"/>
    <w:link w:val="a4"/>
    <w:uiPriority w:val="99"/>
    <w:semiHidden/>
    <w:rsid w:val="00F614E0"/>
    <w:rPr>
      <w:rFonts w:ascii="Segoe UI" w:hAnsi="Segoe UI" w:cs="Segoe UI"/>
      <w:sz w:val="18"/>
      <w:szCs w:val="18"/>
    </w:rPr>
  </w:style>
  <w:style w:type="paragraph" w:styleId="a6">
    <w:name w:val="Normal (Web)"/>
    <w:basedOn w:val="a"/>
    <w:uiPriority w:val="99"/>
    <w:semiHidden/>
    <w:unhideWhenUsed/>
    <w:rsid w:val="00293403"/>
    <w:rPr>
      <w:sz w:val="24"/>
      <w:szCs w:val="24"/>
    </w:rPr>
  </w:style>
  <w:style w:type="table" w:styleId="a7">
    <w:name w:val="Table Grid"/>
    <w:basedOn w:val="a1"/>
    <w:uiPriority w:val="39"/>
    <w:rsid w:val="00293403"/>
    <w:rPr>
      <w:rFonts w:asciiTheme="minorHAnsi" w:hAnsiTheme="minorHAnsi"/>
      <w:sz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70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3387">
      <w:bodyDiv w:val="1"/>
      <w:marLeft w:val="0"/>
      <w:marRight w:val="0"/>
      <w:marTop w:val="0"/>
      <w:marBottom w:val="0"/>
      <w:divBdr>
        <w:top w:val="none" w:sz="0" w:space="0" w:color="auto"/>
        <w:left w:val="none" w:sz="0" w:space="0" w:color="auto"/>
        <w:bottom w:val="none" w:sz="0" w:space="0" w:color="auto"/>
        <w:right w:val="none" w:sz="0" w:space="0" w:color="auto"/>
      </w:divBdr>
    </w:div>
    <w:div w:id="70809492">
      <w:bodyDiv w:val="1"/>
      <w:marLeft w:val="0"/>
      <w:marRight w:val="0"/>
      <w:marTop w:val="0"/>
      <w:marBottom w:val="0"/>
      <w:divBdr>
        <w:top w:val="none" w:sz="0" w:space="0" w:color="auto"/>
        <w:left w:val="none" w:sz="0" w:space="0" w:color="auto"/>
        <w:bottom w:val="none" w:sz="0" w:space="0" w:color="auto"/>
        <w:right w:val="none" w:sz="0" w:space="0" w:color="auto"/>
      </w:divBdr>
    </w:div>
    <w:div w:id="245454934">
      <w:bodyDiv w:val="1"/>
      <w:marLeft w:val="0"/>
      <w:marRight w:val="0"/>
      <w:marTop w:val="0"/>
      <w:marBottom w:val="0"/>
      <w:divBdr>
        <w:top w:val="none" w:sz="0" w:space="0" w:color="auto"/>
        <w:left w:val="none" w:sz="0" w:space="0" w:color="auto"/>
        <w:bottom w:val="none" w:sz="0" w:space="0" w:color="auto"/>
        <w:right w:val="none" w:sz="0" w:space="0" w:color="auto"/>
      </w:divBdr>
    </w:div>
    <w:div w:id="308437745">
      <w:bodyDiv w:val="1"/>
      <w:marLeft w:val="0"/>
      <w:marRight w:val="0"/>
      <w:marTop w:val="0"/>
      <w:marBottom w:val="0"/>
      <w:divBdr>
        <w:top w:val="none" w:sz="0" w:space="0" w:color="auto"/>
        <w:left w:val="none" w:sz="0" w:space="0" w:color="auto"/>
        <w:bottom w:val="none" w:sz="0" w:space="0" w:color="auto"/>
        <w:right w:val="none" w:sz="0" w:space="0" w:color="auto"/>
      </w:divBdr>
    </w:div>
    <w:div w:id="361907030">
      <w:bodyDiv w:val="1"/>
      <w:marLeft w:val="0"/>
      <w:marRight w:val="0"/>
      <w:marTop w:val="0"/>
      <w:marBottom w:val="0"/>
      <w:divBdr>
        <w:top w:val="none" w:sz="0" w:space="0" w:color="auto"/>
        <w:left w:val="none" w:sz="0" w:space="0" w:color="auto"/>
        <w:bottom w:val="none" w:sz="0" w:space="0" w:color="auto"/>
        <w:right w:val="none" w:sz="0" w:space="0" w:color="auto"/>
      </w:divBdr>
    </w:div>
    <w:div w:id="542794777">
      <w:bodyDiv w:val="1"/>
      <w:marLeft w:val="0"/>
      <w:marRight w:val="0"/>
      <w:marTop w:val="0"/>
      <w:marBottom w:val="0"/>
      <w:divBdr>
        <w:top w:val="none" w:sz="0" w:space="0" w:color="auto"/>
        <w:left w:val="none" w:sz="0" w:space="0" w:color="auto"/>
        <w:bottom w:val="none" w:sz="0" w:space="0" w:color="auto"/>
        <w:right w:val="none" w:sz="0" w:space="0" w:color="auto"/>
      </w:divBdr>
    </w:div>
    <w:div w:id="768087557">
      <w:bodyDiv w:val="1"/>
      <w:marLeft w:val="0"/>
      <w:marRight w:val="0"/>
      <w:marTop w:val="0"/>
      <w:marBottom w:val="0"/>
      <w:divBdr>
        <w:top w:val="none" w:sz="0" w:space="0" w:color="auto"/>
        <w:left w:val="none" w:sz="0" w:space="0" w:color="auto"/>
        <w:bottom w:val="none" w:sz="0" w:space="0" w:color="auto"/>
        <w:right w:val="none" w:sz="0" w:space="0" w:color="auto"/>
      </w:divBdr>
    </w:div>
    <w:div w:id="830100718">
      <w:bodyDiv w:val="1"/>
      <w:marLeft w:val="0"/>
      <w:marRight w:val="0"/>
      <w:marTop w:val="0"/>
      <w:marBottom w:val="0"/>
      <w:divBdr>
        <w:top w:val="none" w:sz="0" w:space="0" w:color="auto"/>
        <w:left w:val="none" w:sz="0" w:space="0" w:color="auto"/>
        <w:bottom w:val="none" w:sz="0" w:space="0" w:color="auto"/>
        <w:right w:val="none" w:sz="0" w:space="0" w:color="auto"/>
      </w:divBdr>
    </w:div>
    <w:div w:id="1518231320">
      <w:bodyDiv w:val="1"/>
      <w:marLeft w:val="0"/>
      <w:marRight w:val="0"/>
      <w:marTop w:val="0"/>
      <w:marBottom w:val="0"/>
      <w:divBdr>
        <w:top w:val="none" w:sz="0" w:space="0" w:color="auto"/>
        <w:left w:val="none" w:sz="0" w:space="0" w:color="auto"/>
        <w:bottom w:val="none" w:sz="0" w:space="0" w:color="auto"/>
        <w:right w:val="none" w:sz="0" w:space="0" w:color="auto"/>
      </w:divBdr>
    </w:div>
    <w:div w:id="1744378072">
      <w:bodyDiv w:val="1"/>
      <w:marLeft w:val="0"/>
      <w:marRight w:val="0"/>
      <w:marTop w:val="0"/>
      <w:marBottom w:val="0"/>
      <w:divBdr>
        <w:top w:val="none" w:sz="0" w:space="0" w:color="auto"/>
        <w:left w:val="none" w:sz="0" w:space="0" w:color="auto"/>
        <w:bottom w:val="none" w:sz="0" w:space="0" w:color="auto"/>
        <w:right w:val="none" w:sz="0" w:space="0" w:color="auto"/>
      </w:divBdr>
    </w:div>
    <w:div w:id="186879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1</Pages>
  <Words>3209</Words>
  <Characters>1830</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Ревін Кирило</dc:creator>
  <cp:keywords/>
  <dc:description/>
  <cp:lastModifiedBy>vd yurist 9</cp:lastModifiedBy>
  <cp:revision>20</cp:revision>
  <cp:lastPrinted>2018-02-12T09:55:00Z</cp:lastPrinted>
  <dcterms:created xsi:type="dcterms:W3CDTF">2018-02-06T06:31:00Z</dcterms:created>
  <dcterms:modified xsi:type="dcterms:W3CDTF">2018-02-12T09:55:00Z</dcterms:modified>
</cp:coreProperties>
</file>