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C8" w:rsidRPr="006800C2" w:rsidRDefault="00A131C8" w:rsidP="006800C2">
      <w:pPr>
        <w:widowControl w:val="0"/>
        <w:spacing w:after="0" w:line="240" w:lineRule="auto"/>
        <w:ind w:left="10801" w:right="-57" w:hanging="28"/>
        <w:contextualSpacing/>
        <w:rPr>
          <w:rFonts w:ascii="Times New Roman" w:hAnsi="Times New Roman"/>
          <w:sz w:val="26"/>
          <w:szCs w:val="26"/>
        </w:rPr>
      </w:pPr>
      <w:r w:rsidRPr="006800C2">
        <w:rPr>
          <w:rFonts w:ascii="Times New Roman" w:hAnsi="Times New Roman"/>
          <w:sz w:val="26"/>
          <w:szCs w:val="26"/>
        </w:rPr>
        <w:t>Додаток 1</w:t>
      </w:r>
      <w:r w:rsidRPr="006800C2">
        <w:rPr>
          <w:rFonts w:ascii="Times New Roman" w:hAnsi="Times New Roman"/>
          <w:sz w:val="26"/>
          <w:szCs w:val="26"/>
        </w:rPr>
        <w:br/>
        <w:t>до листа  обласної  державної а</w:t>
      </w:r>
      <w:r w:rsidRPr="006800C2">
        <w:rPr>
          <w:rFonts w:ascii="Times New Roman" w:hAnsi="Times New Roman"/>
          <w:sz w:val="26"/>
          <w:szCs w:val="26"/>
        </w:rPr>
        <w:t>д</w:t>
      </w:r>
      <w:r w:rsidRPr="006800C2">
        <w:rPr>
          <w:rFonts w:ascii="Times New Roman" w:hAnsi="Times New Roman"/>
          <w:sz w:val="26"/>
          <w:szCs w:val="26"/>
        </w:rPr>
        <w:t xml:space="preserve">міністрації </w:t>
      </w:r>
      <w:r w:rsidRPr="006800C2">
        <w:rPr>
          <w:rFonts w:ascii="Times New Roman" w:hAnsi="Times New Roman"/>
          <w:sz w:val="26"/>
          <w:szCs w:val="26"/>
        </w:rPr>
        <w:br/>
        <w:t xml:space="preserve"> __________№_______________</w:t>
      </w:r>
    </w:p>
    <w:p w:rsidR="00A131C8" w:rsidRPr="00504C1F" w:rsidRDefault="00A131C8" w:rsidP="006800C2">
      <w:pPr>
        <w:pStyle w:val="a"/>
        <w:spacing w:before="0" w:after="0" w:line="228" w:lineRule="auto"/>
        <w:rPr>
          <w:rFonts w:ascii="Times New Roman" w:hAnsi="Times New Roman"/>
          <w:b w:val="0"/>
          <w:szCs w:val="26"/>
        </w:rPr>
      </w:pPr>
      <w:r w:rsidRPr="003C7940">
        <w:rPr>
          <w:rFonts w:ascii="Times New Roman" w:hAnsi="Times New Roman"/>
          <w:szCs w:val="26"/>
        </w:rPr>
        <w:t>ЗВІТ</w:t>
      </w:r>
      <w:r w:rsidRPr="003C7940">
        <w:rPr>
          <w:rFonts w:ascii="Times New Roman" w:hAnsi="Times New Roman"/>
          <w:szCs w:val="26"/>
        </w:rPr>
        <w:br/>
      </w:r>
      <w:r w:rsidRPr="00504C1F">
        <w:rPr>
          <w:rFonts w:ascii="Times New Roman" w:hAnsi="Times New Roman"/>
          <w:b w:val="0"/>
          <w:szCs w:val="26"/>
        </w:rPr>
        <w:t xml:space="preserve">про виконання завдань Державної стратегії регіонального </w:t>
      </w:r>
    </w:p>
    <w:p w:rsidR="00A131C8" w:rsidRPr="00504C1F" w:rsidRDefault="00A131C8" w:rsidP="006800C2">
      <w:pPr>
        <w:pStyle w:val="a"/>
        <w:spacing w:before="0" w:after="0" w:line="228" w:lineRule="auto"/>
        <w:rPr>
          <w:rFonts w:ascii="Times New Roman" w:hAnsi="Times New Roman"/>
          <w:b w:val="0"/>
          <w:szCs w:val="26"/>
        </w:rPr>
      </w:pPr>
      <w:r w:rsidRPr="00504C1F">
        <w:rPr>
          <w:rFonts w:ascii="Times New Roman" w:hAnsi="Times New Roman"/>
          <w:b w:val="0"/>
          <w:szCs w:val="26"/>
        </w:rPr>
        <w:t>розвитку України за  2017</w:t>
      </w:r>
      <w:r>
        <w:rPr>
          <w:rFonts w:ascii="Times New Roman" w:hAnsi="Times New Roman"/>
          <w:b w:val="0"/>
          <w:szCs w:val="26"/>
        </w:rPr>
        <w:t xml:space="preserve"> </w:t>
      </w:r>
      <w:r w:rsidRPr="00504C1F">
        <w:rPr>
          <w:rFonts w:ascii="Times New Roman" w:hAnsi="Times New Roman"/>
          <w:b w:val="0"/>
          <w:szCs w:val="26"/>
        </w:rPr>
        <w:t>р</w:t>
      </w:r>
      <w:r>
        <w:rPr>
          <w:rFonts w:ascii="Times New Roman" w:hAnsi="Times New Roman"/>
          <w:b w:val="0"/>
          <w:szCs w:val="26"/>
        </w:rPr>
        <w:t>ік</w:t>
      </w:r>
      <w:r w:rsidRPr="00504C1F">
        <w:rPr>
          <w:rFonts w:ascii="Times New Roman" w:hAnsi="Times New Roman"/>
          <w:b w:val="0"/>
          <w:szCs w:val="26"/>
        </w:rPr>
        <w:br/>
        <w:t xml:space="preserve">відповідальним за які визначено </w:t>
      </w:r>
      <w:r w:rsidRPr="00AE651F">
        <w:rPr>
          <w:rFonts w:ascii="Times New Roman" w:hAnsi="Times New Roman"/>
          <w:szCs w:val="26"/>
        </w:rPr>
        <w:t>Херсонську обласну державну адміністрацію</w:t>
      </w:r>
    </w:p>
    <w:p w:rsidR="00A131C8" w:rsidRPr="00504C1F" w:rsidRDefault="00A131C8" w:rsidP="006800C2">
      <w:pPr>
        <w:pStyle w:val="a"/>
        <w:spacing w:before="0" w:after="0" w:line="228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           </w:t>
      </w:r>
      <w:r w:rsidRPr="00504C1F">
        <w:rPr>
          <w:rFonts w:ascii="Times New Roman" w:hAnsi="Times New Roman"/>
        </w:rPr>
        <w:t xml:space="preserve">                                         </w:t>
      </w:r>
      <w:r w:rsidRPr="00504C1F">
        <w:rPr>
          <w:rFonts w:ascii="Times New Roman" w:hAnsi="Times New Roman"/>
          <w:b w:val="0"/>
        </w:rPr>
        <w:t>(назва органу виконавчої влади)</w:t>
      </w:r>
    </w:p>
    <w:p w:rsidR="00A131C8" w:rsidRPr="00AE651F" w:rsidRDefault="00A131C8" w:rsidP="006800C2">
      <w:pPr>
        <w:pStyle w:val="a1"/>
        <w:spacing w:before="0" w:line="228" w:lineRule="auto"/>
        <w:jc w:val="center"/>
        <w:rPr>
          <w:rFonts w:ascii="Times New Roman" w:hAnsi="Times New Roman"/>
          <w:b/>
          <w:sz w:val="20"/>
        </w:rPr>
      </w:pPr>
      <w:r w:rsidRPr="00AE651F">
        <w:rPr>
          <w:rFonts w:ascii="Times New Roman" w:hAnsi="Times New Roman"/>
          <w:b/>
          <w:sz w:val="24"/>
          <w:szCs w:val="24"/>
        </w:rPr>
        <w:t xml:space="preserve">Департамент економічного розвитку і торгівлі Херсонської обласної державної адміністрації </w:t>
      </w:r>
      <w:r w:rsidRPr="00AE651F">
        <w:rPr>
          <w:rFonts w:ascii="Times New Roman" w:hAnsi="Times New Roman"/>
          <w:b/>
          <w:sz w:val="20"/>
        </w:rPr>
        <w:t xml:space="preserve"> </w:t>
      </w:r>
    </w:p>
    <w:p w:rsidR="00A131C8" w:rsidRPr="00504C1F" w:rsidRDefault="00A131C8" w:rsidP="006800C2">
      <w:pPr>
        <w:pStyle w:val="a1"/>
        <w:spacing w:before="0" w:line="228" w:lineRule="auto"/>
        <w:jc w:val="center"/>
        <w:rPr>
          <w:rFonts w:ascii="Times New Roman" w:hAnsi="Times New Roman"/>
          <w:sz w:val="20"/>
        </w:rPr>
      </w:pPr>
      <w:r w:rsidRPr="00504C1F">
        <w:rPr>
          <w:rFonts w:ascii="Times New Roman" w:hAnsi="Times New Roman"/>
          <w:sz w:val="20"/>
        </w:rPr>
        <w:t>(назва структурного підрозділу, відповідального за координацію виконання завдань Стратегії)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9"/>
        <w:gridCol w:w="1275"/>
        <w:gridCol w:w="1133"/>
        <w:gridCol w:w="1133"/>
        <w:gridCol w:w="1133"/>
        <w:gridCol w:w="849"/>
        <w:gridCol w:w="850"/>
        <w:gridCol w:w="991"/>
        <w:gridCol w:w="1133"/>
        <w:gridCol w:w="1275"/>
        <w:gridCol w:w="991"/>
        <w:gridCol w:w="850"/>
        <w:gridCol w:w="123"/>
        <w:gridCol w:w="13"/>
        <w:gridCol w:w="431"/>
        <w:gridCol w:w="141"/>
        <w:gridCol w:w="284"/>
        <w:gridCol w:w="1275"/>
        <w:gridCol w:w="1275"/>
        <w:gridCol w:w="14"/>
      </w:tblGrid>
      <w:tr w:rsidR="00A131C8" w:rsidRPr="006F1026" w:rsidTr="00A44D4F">
        <w:trPr>
          <w:gridAfter w:val="1"/>
          <w:wAfter w:w="14" w:type="dxa"/>
          <w:trHeight w:val="361"/>
        </w:trPr>
        <w:tc>
          <w:tcPr>
            <w:tcW w:w="851" w:type="dxa"/>
            <w:vMerge w:val="restart"/>
          </w:tcPr>
          <w:p w:rsidR="00A131C8" w:rsidRPr="006F1026" w:rsidRDefault="00A131C8" w:rsidP="006F1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026">
              <w:rPr>
                <w:rFonts w:ascii="Times New Roman" w:hAnsi="Times New Roman"/>
                <w:sz w:val="20"/>
                <w:szCs w:val="20"/>
              </w:rPr>
              <w:t>Н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а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ймен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у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вання з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а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вдання Стр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а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тегії</w:t>
            </w:r>
          </w:p>
        </w:tc>
        <w:tc>
          <w:tcPr>
            <w:tcW w:w="1276" w:type="dxa"/>
            <w:vMerge w:val="restart"/>
          </w:tcPr>
          <w:p w:rsidR="00A131C8" w:rsidRPr="006F1026" w:rsidRDefault="00A131C8" w:rsidP="006F1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026">
              <w:rPr>
                <w:rFonts w:ascii="Times New Roman" w:hAnsi="Times New Roman"/>
                <w:sz w:val="20"/>
                <w:szCs w:val="20"/>
              </w:rPr>
              <w:t>Наймен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у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вання зах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о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  <w:vMerge w:val="restart"/>
          </w:tcPr>
          <w:p w:rsidR="00A131C8" w:rsidRPr="006F1026" w:rsidRDefault="00A131C8" w:rsidP="006F1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026">
              <w:rPr>
                <w:rFonts w:ascii="Times New Roman" w:hAnsi="Times New Roman"/>
                <w:sz w:val="20"/>
                <w:szCs w:val="20"/>
              </w:rPr>
              <w:t>Дата п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о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чатку/ заверше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н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ня здій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с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нення з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а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ходу</w:t>
            </w:r>
          </w:p>
        </w:tc>
        <w:tc>
          <w:tcPr>
            <w:tcW w:w="6095" w:type="dxa"/>
            <w:gridSpan w:val="6"/>
          </w:tcPr>
          <w:p w:rsidR="00A131C8" w:rsidRPr="006F1026" w:rsidRDefault="00A131C8" w:rsidP="006F1026">
            <w:pPr>
              <w:pStyle w:val="a1"/>
              <w:spacing w:before="6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  <w:r w:rsidRPr="006F1026">
              <w:rPr>
                <w:rFonts w:ascii="Times New Roman" w:hAnsi="Times New Roman"/>
                <w:sz w:val="20"/>
              </w:rPr>
              <w:t>Проектне та фінансове забезпечення виконання завдання</w:t>
            </w:r>
          </w:p>
        </w:tc>
        <w:tc>
          <w:tcPr>
            <w:tcW w:w="3827" w:type="dxa"/>
            <w:gridSpan w:val="7"/>
            <w:vMerge w:val="restart"/>
          </w:tcPr>
          <w:p w:rsidR="00A131C8" w:rsidRPr="006F1026" w:rsidRDefault="00A131C8" w:rsidP="006F1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026">
              <w:rPr>
                <w:rFonts w:ascii="Times New Roman" w:hAnsi="Times New Roman"/>
                <w:sz w:val="20"/>
                <w:szCs w:val="20"/>
              </w:rPr>
              <w:t>Індикатори результативності виконання завдання</w:t>
            </w:r>
          </w:p>
        </w:tc>
        <w:tc>
          <w:tcPr>
            <w:tcW w:w="1560" w:type="dxa"/>
            <w:gridSpan w:val="2"/>
            <w:vMerge w:val="restart"/>
          </w:tcPr>
          <w:p w:rsidR="00A131C8" w:rsidRPr="006F1026" w:rsidRDefault="00A131C8" w:rsidP="006F1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026">
              <w:rPr>
                <w:rFonts w:ascii="Times New Roman" w:hAnsi="Times New Roman"/>
                <w:sz w:val="20"/>
                <w:szCs w:val="20"/>
              </w:rPr>
              <w:t>Стан викона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н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ня завдання (з порівняльною оцінкою фа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к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тично викон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а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ного і заплан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о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ваного)</w:t>
            </w:r>
          </w:p>
        </w:tc>
        <w:tc>
          <w:tcPr>
            <w:tcW w:w="1275" w:type="dxa"/>
            <w:vMerge w:val="restart"/>
          </w:tcPr>
          <w:p w:rsidR="00A131C8" w:rsidRPr="006F1026" w:rsidRDefault="00A131C8" w:rsidP="006F1026">
            <w:pPr>
              <w:pStyle w:val="a1"/>
              <w:spacing w:before="60" w:line="228" w:lineRule="auto"/>
              <w:ind w:left="-107" w:right="-106" w:firstLine="0"/>
              <w:jc w:val="center"/>
              <w:rPr>
                <w:rFonts w:ascii="Times New Roman" w:hAnsi="Times New Roman"/>
                <w:sz w:val="20"/>
              </w:rPr>
            </w:pPr>
            <w:r w:rsidRPr="006F1026">
              <w:rPr>
                <w:rFonts w:ascii="Times New Roman" w:hAnsi="Times New Roman"/>
                <w:sz w:val="20"/>
              </w:rPr>
              <w:t>Проблемні питання, їх вплив на в</w:t>
            </w:r>
            <w:r w:rsidRPr="006F1026">
              <w:rPr>
                <w:rFonts w:ascii="Times New Roman" w:hAnsi="Times New Roman"/>
                <w:sz w:val="20"/>
              </w:rPr>
              <w:t>и</w:t>
            </w:r>
            <w:r w:rsidRPr="006F1026">
              <w:rPr>
                <w:rFonts w:ascii="Times New Roman" w:hAnsi="Times New Roman"/>
                <w:sz w:val="20"/>
              </w:rPr>
              <w:t>конання з</w:t>
            </w:r>
            <w:r w:rsidRPr="006F1026">
              <w:rPr>
                <w:rFonts w:ascii="Times New Roman" w:hAnsi="Times New Roman"/>
                <w:sz w:val="20"/>
              </w:rPr>
              <w:t>а</w:t>
            </w:r>
            <w:r w:rsidRPr="006F1026">
              <w:rPr>
                <w:rFonts w:ascii="Times New Roman" w:hAnsi="Times New Roman"/>
                <w:sz w:val="20"/>
              </w:rPr>
              <w:t>вдання (з поясненням причини їх виникнення та зазначенням механізму вирішення)</w:t>
            </w:r>
          </w:p>
          <w:p w:rsidR="00A131C8" w:rsidRPr="006F1026" w:rsidRDefault="00A131C8" w:rsidP="006F10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1C8" w:rsidRPr="006F1026" w:rsidTr="00A44D4F">
        <w:trPr>
          <w:gridAfter w:val="1"/>
          <w:wAfter w:w="14" w:type="dxa"/>
          <w:trHeight w:val="1665"/>
        </w:trPr>
        <w:tc>
          <w:tcPr>
            <w:tcW w:w="851" w:type="dxa"/>
            <w:vMerge/>
          </w:tcPr>
          <w:p w:rsidR="00A131C8" w:rsidRPr="006F1026" w:rsidRDefault="00A131C8" w:rsidP="006F1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131C8" w:rsidRPr="006F1026" w:rsidRDefault="00A131C8" w:rsidP="006F1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31C8" w:rsidRPr="006F1026" w:rsidRDefault="00A131C8" w:rsidP="006F1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131C8" w:rsidRPr="006F1026" w:rsidRDefault="00A131C8" w:rsidP="006F1026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  <w:r w:rsidRPr="006F1026">
              <w:rPr>
                <w:rFonts w:ascii="Times New Roman" w:hAnsi="Times New Roman"/>
                <w:sz w:val="20"/>
              </w:rPr>
              <w:t>назва, дата та номер р</w:t>
            </w:r>
            <w:r w:rsidRPr="006F1026">
              <w:rPr>
                <w:rFonts w:ascii="Times New Roman" w:hAnsi="Times New Roman"/>
                <w:sz w:val="20"/>
              </w:rPr>
              <w:t>і</w:t>
            </w:r>
            <w:r w:rsidRPr="006F1026">
              <w:rPr>
                <w:rFonts w:ascii="Times New Roman" w:hAnsi="Times New Roman"/>
                <w:sz w:val="20"/>
              </w:rPr>
              <w:t>шення про реалізацію</w:t>
            </w:r>
          </w:p>
          <w:p w:rsidR="00A131C8" w:rsidRPr="006F1026" w:rsidRDefault="00A131C8" w:rsidP="006F1026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  <w:r w:rsidRPr="006F1026">
              <w:rPr>
                <w:rFonts w:ascii="Times New Roman" w:hAnsi="Times New Roman"/>
                <w:sz w:val="20"/>
              </w:rPr>
              <w:t>програми</w:t>
            </w:r>
          </w:p>
          <w:p w:rsidR="00A131C8" w:rsidRPr="006F1026" w:rsidRDefault="00A131C8" w:rsidP="006F1026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  <w:r w:rsidRPr="006F1026">
              <w:rPr>
                <w:rFonts w:ascii="Times New Roman" w:hAnsi="Times New Roman"/>
                <w:sz w:val="20"/>
              </w:rPr>
              <w:t>(проекту)</w:t>
            </w:r>
          </w:p>
          <w:p w:rsidR="00A131C8" w:rsidRPr="006F1026" w:rsidRDefault="00A131C8" w:rsidP="006F1026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  <w:r w:rsidRPr="006F1026">
              <w:rPr>
                <w:rFonts w:ascii="Times New Roman" w:hAnsi="Times New Roman"/>
                <w:sz w:val="20"/>
              </w:rPr>
              <w:t>регіонального розвитку, що</w:t>
            </w:r>
          </w:p>
          <w:p w:rsidR="00A131C8" w:rsidRPr="006F1026" w:rsidRDefault="00A131C8" w:rsidP="006F1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026">
              <w:rPr>
                <w:rFonts w:ascii="Times New Roman" w:hAnsi="Times New Roman"/>
                <w:sz w:val="20"/>
                <w:szCs w:val="20"/>
              </w:rPr>
              <w:t>реалізується в рамках заходу</w:t>
            </w:r>
          </w:p>
        </w:tc>
        <w:tc>
          <w:tcPr>
            <w:tcW w:w="1701" w:type="dxa"/>
            <w:gridSpan w:val="2"/>
          </w:tcPr>
          <w:p w:rsidR="00A131C8" w:rsidRPr="006F1026" w:rsidRDefault="00A131C8" w:rsidP="006F1026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  <w:r w:rsidRPr="006F1026">
              <w:rPr>
                <w:rFonts w:ascii="Times New Roman" w:hAnsi="Times New Roman"/>
                <w:sz w:val="20"/>
              </w:rPr>
              <w:t>обсяг</w:t>
            </w:r>
          </w:p>
          <w:p w:rsidR="00A131C8" w:rsidRPr="006F1026" w:rsidRDefault="00A131C8" w:rsidP="006F1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026">
              <w:rPr>
                <w:rFonts w:ascii="Times New Roman" w:hAnsi="Times New Roman"/>
                <w:sz w:val="20"/>
                <w:szCs w:val="20"/>
              </w:rPr>
              <w:t>фінансування, передбачений програмою (пр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о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ектом) регіон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а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льного розвитку, що реалізується в рамках заходу</w:t>
            </w:r>
          </w:p>
        </w:tc>
        <w:tc>
          <w:tcPr>
            <w:tcW w:w="2126" w:type="dxa"/>
            <w:gridSpan w:val="2"/>
          </w:tcPr>
          <w:p w:rsidR="00A131C8" w:rsidRPr="006F1026" w:rsidRDefault="00A131C8" w:rsidP="006F1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026">
              <w:rPr>
                <w:rFonts w:ascii="Times New Roman" w:hAnsi="Times New Roman"/>
                <w:sz w:val="20"/>
                <w:szCs w:val="20"/>
              </w:rPr>
              <w:t>фактично профіна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н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сований обсяг коштів за програмою (прое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к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том) регіонального розвитку, що реаліз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у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ється в рамках заходу</w:t>
            </w:r>
          </w:p>
        </w:tc>
        <w:tc>
          <w:tcPr>
            <w:tcW w:w="3827" w:type="dxa"/>
            <w:gridSpan w:val="7"/>
            <w:vMerge/>
          </w:tcPr>
          <w:p w:rsidR="00A131C8" w:rsidRPr="006F1026" w:rsidRDefault="00A131C8" w:rsidP="006F10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A131C8" w:rsidRPr="006F1026" w:rsidRDefault="00A131C8" w:rsidP="006F10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131C8" w:rsidRPr="006F1026" w:rsidRDefault="00A131C8" w:rsidP="006F10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1C8" w:rsidRPr="006F1026" w:rsidTr="00A44D4F">
        <w:trPr>
          <w:gridAfter w:val="1"/>
          <w:wAfter w:w="14" w:type="dxa"/>
          <w:trHeight w:val="1546"/>
        </w:trPr>
        <w:tc>
          <w:tcPr>
            <w:tcW w:w="851" w:type="dxa"/>
            <w:vMerge/>
          </w:tcPr>
          <w:p w:rsidR="00A131C8" w:rsidRPr="006F1026" w:rsidRDefault="00A131C8" w:rsidP="006F1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131C8" w:rsidRPr="006F1026" w:rsidRDefault="00A131C8" w:rsidP="006F1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31C8" w:rsidRPr="006F1026" w:rsidRDefault="00A131C8" w:rsidP="006F1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1C8" w:rsidRPr="006F1026" w:rsidRDefault="00A131C8" w:rsidP="006F1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026">
              <w:rPr>
                <w:rFonts w:ascii="Times New Roman" w:hAnsi="Times New Roman"/>
                <w:sz w:val="20"/>
                <w:szCs w:val="20"/>
              </w:rPr>
              <w:t>тих, що діють з початку виконання завдання</w:t>
            </w:r>
          </w:p>
        </w:tc>
        <w:tc>
          <w:tcPr>
            <w:tcW w:w="1134" w:type="dxa"/>
          </w:tcPr>
          <w:p w:rsidR="00A131C8" w:rsidRPr="006F1026" w:rsidRDefault="00A131C8" w:rsidP="006F1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026">
              <w:rPr>
                <w:rFonts w:ascii="Times New Roman" w:hAnsi="Times New Roman"/>
                <w:sz w:val="20"/>
                <w:szCs w:val="20"/>
              </w:rPr>
              <w:t>тих, що затве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р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джені у звітному періоді</w:t>
            </w:r>
          </w:p>
          <w:p w:rsidR="00A131C8" w:rsidRPr="006F1026" w:rsidRDefault="00A131C8" w:rsidP="006F1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1C8" w:rsidRPr="006F1026" w:rsidRDefault="00A131C8" w:rsidP="006F1026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  <w:r w:rsidRPr="006F1026">
              <w:rPr>
                <w:rFonts w:ascii="Times New Roman" w:hAnsi="Times New Roman"/>
                <w:sz w:val="20"/>
              </w:rPr>
              <w:t>з початку реалізації програми (проекту)</w:t>
            </w:r>
          </w:p>
        </w:tc>
        <w:tc>
          <w:tcPr>
            <w:tcW w:w="851" w:type="dxa"/>
          </w:tcPr>
          <w:p w:rsidR="00A131C8" w:rsidRPr="006F1026" w:rsidRDefault="00A131C8" w:rsidP="006F1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026">
              <w:rPr>
                <w:rFonts w:ascii="Times New Roman" w:hAnsi="Times New Roman"/>
                <w:sz w:val="20"/>
                <w:szCs w:val="20"/>
              </w:rPr>
              <w:t>за зв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і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тний період</w:t>
            </w:r>
          </w:p>
        </w:tc>
        <w:tc>
          <w:tcPr>
            <w:tcW w:w="992" w:type="dxa"/>
          </w:tcPr>
          <w:p w:rsidR="00A131C8" w:rsidRPr="006F1026" w:rsidRDefault="00A131C8" w:rsidP="006F1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026">
              <w:rPr>
                <w:rFonts w:ascii="Times New Roman" w:hAnsi="Times New Roman"/>
                <w:sz w:val="20"/>
                <w:szCs w:val="20"/>
              </w:rPr>
              <w:t>з поча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т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ку реал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і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зації прогр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а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ми (пр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о</w:t>
            </w:r>
            <w:r w:rsidRPr="006F1026">
              <w:rPr>
                <w:rFonts w:ascii="Times New Roman" w:hAnsi="Times New Roman"/>
                <w:sz w:val="20"/>
                <w:szCs w:val="20"/>
              </w:rPr>
              <w:t>екту</w:t>
            </w:r>
          </w:p>
        </w:tc>
        <w:tc>
          <w:tcPr>
            <w:tcW w:w="1134" w:type="dxa"/>
          </w:tcPr>
          <w:p w:rsidR="00A131C8" w:rsidRPr="006F1026" w:rsidRDefault="00A131C8" w:rsidP="006F1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026">
              <w:rPr>
                <w:rFonts w:ascii="Times New Roman" w:hAnsi="Times New Roman"/>
                <w:sz w:val="20"/>
                <w:szCs w:val="20"/>
              </w:rPr>
              <w:t>за звітний період</w:t>
            </w:r>
          </w:p>
        </w:tc>
        <w:tc>
          <w:tcPr>
            <w:tcW w:w="1276" w:type="dxa"/>
          </w:tcPr>
          <w:p w:rsidR="00A131C8" w:rsidRPr="006F1026" w:rsidRDefault="00A131C8" w:rsidP="006F1026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  <w:r w:rsidRPr="006F1026">
              <w:rPr>
                <w:rFonts w:ascii="Times New Roman" w:hAnsi="Times New Roman"/>
                <w:sz w:val="20"/>
              </w:rPr>
              <w:t>найменування індикатора,</w:t>
            </w:r>
          </w:p>
          <w:p w:rsidR="00A131C8" w:rsidRPr="006F1026" w:rsidRDefault="00A131C8" w:rsidP="006F1026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  <w:r w:rsidRPr="006F1026">
              <w:rPr>
                <w:rFonts w:ascii="Times New Roman" w:hAnsi="Times New Roman"/>
                <w:sz w:val="20"/>
              </w:rPr>
              <w:t>одиниця вим</w:t>
            </w:r>
            <w:r w:rsidRPr="006F1026">
              <w:rPr>
                <w:rFonts w:ascii="Times New Roman" w:hAnsi="Times New Roman"/>
                <w:sz w:val="20"/>
              </w:rPr>
              <w:t>і</w:t>
            </w:r>
            <w:r w:rsidRPr="006F1026">
              <w:rPr>
                <w:rFonts w:ascii="Times New Roman" w:hAnsi="Times New Roman"/>
                <w:sz w:val="20"/>
              </w:rPr>
              <w:t>ру</w:t>
            </w:r>
          </w:p>
        </w:tc>
        <w:tc>
          <w:tcPr>
            <w:tcW w:w="992" w:type="dxa"/>
          </w:tcPr>
          <w:p w:rsidR="00A131C8" w:rsidRPr="006F1026" w:rsidRDefault="00A131C8" w:rsidP="006F1026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  <w:r w:rsidRPr="006F1026">
              <w:rPr>
                <w:rFonts w:ascii="Times New Roman" w:hAnsi="Times New Roman"/>
                <w:sz w:val="20"/>
              </w:rPr>
              <w:t>прогноз</w:t>
            </w:r>
            <w:r w:rsidRPr="006F1026">
              <w:rPr>
                <w:rFonts w:ascii="Times New Roman" w:hAnsi="Times New Roman"/>
                <w:sz w:val="20"/>
              </w:rPr>
              <w:t>о</w:t>
            </w:r>
            <w:r w:rsidRPr="006F1026">
              <w:rPr>
                <w:rFonts w:ascii="Times New Roman" w:hAnsi="Times New Roman"/>
                <w:sz w:val="20"/>
              </w:rPr>
              <w:t>ване зн</w:t>
            </w:r>
            <w:r w:rsidRPr="006F1026">
              <w:rPr>
                <w:rFonts w:ascii="Times New Roman" w:hAnsi="Times New Roman"/>
                <w:sz w:val="20"/>
              </w:rPr>
              <w:t>а</w:t>
            </w:r>
            <w:r w:rsidRPr="006F1026">
              <w:rPr>
                <w:rFonts w:ascii="Times New Roman" w:hAnsi="Times New Roman"/>
                <w:sz w:val="20"/>
              </w:rPr>
              <w:t>чення індикатора</w:t>
            </w:r>
          </w:p>
        </w:tc>
        <w:tc>
          <w:tcPr>
            <w:tcW w:w="851" w:type="dxa"/>
          </w:tcPr>
          <w:p w:rsidR="00A131C8" w:rsidRPr="006F1026" w:rsidRDefault="00A131C8" w:rsidP="006F1026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  <w:r w:rsidRPr="006F1026">
              <w:rPr>
                <w:rFonts w:ascii="Times New Roman" w:hAnsi="Times New Roman"/>
                <w:sz w:val="20"/>
              </w:rPr>
              <w:t>фактичне значення індикат</w:t>
            </w:r>
            <w:r w:rsidRPr="006F1026">
              <w:rPr>
                <w:rFonts w:ascii="Times New Roman" w:hAnsi="Times New Roman"/>
                <w:sz w:val="20"/>
              </w:rPr>
              <w:t>о</w:t>
            </w:r>
            <w:r w:rsidRPr="006F1026">
              <w:rPr>
                <w:rFonts w:ascii="Times New Roman" w:hAnsi="Times New Roman"/>
                <w:sz w:val="20"/>
              </w:rPr>
              <w:t>ра</w:t>
            </w:r>
          </w:p>
        </w:tc>
        <w:tc>
          <w:tcPr>
            <w:tcW w:w="708" w:type="dxa"/>
            <w:gridSpan w:val="4"/>
          </w:tcPr>
          <w:p w:rsidR="00A131C8" w:rsidRPr="006F1026" w:rsidRDefault="00A131C8" w:rsidP="006F1026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  <w:r w:rsidRPr="006F1026">
              <w:rPr>
                <w:rFonts w:ascii="Times New Roman" w:hAnsi="Times New Roman"/>
                <w:sz w:val="20"/>
              </w:rPr>
              <w:t>відх</w:t>
            </w:r>
            <w:r w:rsidRPr="006F1026">
              <w:rPr>
                <w:rFonts w:ascii="Times New Roman" w:hAnsi="Times New Roman"/>
                <w:sz w:val="20"/>
              </w:rPr>
              <w:t>и</w:t>
            </w:r>
            <w:r w:rsidRPr="006F1026">
              <w:rPr>
                <w:rFonts w:ascii="Times New Roman" w:hAnsi="Times New Roman"/>
                <w:sz w:val="20"/>
              </w:rPr>
              <w:t xml:space="preserve">лення </w:t>
            </w:r>
          </w:p>
          <w:p w:rsidR="00A131C8" w:rsidRPr="006F1026" w:rsidRDefault="00A131C8" w:rsidP="006F1026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  <w:r w:rsidRPr="006F1026">
              <w:rPr>
                <w:rFonts w:ascii="Times New Roman" w:hAnsi="Times New Roman"/>
                <w:sz w:val="20"/>
              </w:rPr>
              <w:t>(+/-)</w:t>
            </w:r>
          </w:p>
        </w:tc>
        <w:tc>
          <w:tcPr>
            <w:tcW w:w="1560" w:type="dxa"/>
            <w:gridSpan w:val="2"/>
            <w:vMerge/>
          </w:tcPr>
          <w:p w:rsidR="00A131C8" w:rsidRPr="006F1026" w:rsidRDefault="00A131C8" w:rsidP="006F1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131C8" w:rsidRPr="006F1026" w:rsidRDefault="00A131C8" w:rsidP="006F1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1C8" w:rsidTr="00EC2DC7">
        <w:trPr>
          <w:trHeight w:val="278"/>
          <w:tblHeader/>
        </w:trPr>
        <w:tc>
          <w:tcPr>
            <w:tcW w:w="851" w:type="dxa"/>
            <w:vAlign w:val="center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DC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D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DC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DC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DC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DC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DC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DC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DC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DC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DC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DC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4"/>
            <w:vAlign w:val="center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DC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2"/>
            <w:vAlign w:val="center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DC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289" w:type="dxa"/>
            <w:gridSpan w:val="2"/>
            <w:vAlign w:val="center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DC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A131C8" w:rsidTr="00EC2DC7">
        <w:trPr>
          <w:trHeight w:val="253"/>
        </w:trPr>
        <w:tc>
          <w:tcPr>
            <w:tcW w:w="16032" w:type="dxa"/>
            <w:gridSpan w:val="20"/>
            <w:vAlign w:val="center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DC7">
              <w:rPr>
                <w:rFonts w:ascii="Times New Roman" w:hAnsi="Times New Roman"/>
                <w:b/>
                <w:sz w:val="20"/>
                <w:szCs w:val="20"/>
              </w:rPr>
              <w:t>1. Удосконалення механізму планування регіонального розвитку</w:t>
            </w:r>
          </w:p>
        </w:tc>
      </w:tr>
      <w:tr w:rsidR="00A131C8" w:rsidTr="00EC2DC7"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Розробле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 інвест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ційних пр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грам (про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ктів) регі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нального розвитку на основі пл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нів заходів з реалізації регіонал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 страт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гій розви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ку на  2016- 2017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Постійно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Програми регіон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льного розвитку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Щонайм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нше     10 розробл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 інве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тиційних програм (проектів)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08" w:type="dxa"/>
            <w:gridSpan w:val="4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+64</w:t>
            </w:r>
          </w:p>
        </w:tc>
        <w:tc>
          <w:tcPr>
            <w:tcW w:w="1560" w:type="dxa"/>
            <w:gridSpan w:val="2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Розроблено 74 інвестиційних програм (про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ктів), які взяли участь у ко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курсному ві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борі таких пр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грам (прое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тів), що 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жуть реаліз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вуватися за рахунок коштів державного фонду регіон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льного розви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ку на загальну суму більше 400 млн грн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c>
          <w:tcPr>
            <w:tcW w:w="16032" w:type="dxa"/>
            <w:gridSpan w:val="20"/>
          </w:tcPr>
          <w:p w:rsidR="00A131C8" w:rsidRPr="00EC2DC7" w:rsidRDefault="00A131C8" w:rsidP="00EC2D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DC7">
              <w:rPr>
                <w:rFonts w:ascii="Times New Roman" w:hAnsi="Times New Roman"/>
                <w:b/>
                <w:sz w:val="20"/>
                <w:szCs w:val="20"/>
              </w:rPr>
              <w:t>Забезпечення стабільного і передбачуваного фінансування регіонального розвитку</w:t>
            </w:r>
          </w:p>
        </w:tc>
      </w:tr>
      <w:tr w:rsidR="00A131C8" w:rsidTr="00EC2DC7">
        <w:tc>
          <w:tcPr>
            <w:tcW w:w="16032" w:type="dxa"/>
            <w:gridSpan w:val="20"/>
          </w:tcPr>
          <w:p w:rsidR="00A131C8" w:rsidRPr="00EC2DC7" w:rsidRDefault="00A131C8" w:rsidP="00EC2DC7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DC7">
              <w:rPr>
                <w:rFonts w:ascii="Times New Roman" w:hAnsi="Times New Roman"/>
                <w:b/>
                <w:sz w:val="20"/>
                <w:szCs w:val="20"/>
              </w:rPr>
              <w:t>Фінансування програм (проектів) регіонального розвитку коштів державного фонду регіонального розвитку</w:t>
            </w:r>
          </w:p>
        </w:tc>
      </w:tr>
      <w:tr w:rsidR="00A131C8" w:rsidTr="00EC2DC7">
        <w:trPr>
          <w:gridAfter w:val="1"/>
          <w:wAfter w:w="13" w:type="dxa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Проведення інформ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ційно-роз’яснювальної роб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ти та забе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печення визначення переліку технічних завдань на інвестиці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й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ні програми і проекти, розробле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ня, подання на конкурс, визначення критеріїв відбору, проведення оцінки та конкурсн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го відбору зазначених програм і проектів, за результат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ми реаліз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ції яких забезпеч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ється пі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вищення конкуре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тоспромо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ж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ності та єдності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гіонів, у тому числі створення додаткових постійних робочих місць, зб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льшення частки 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новаційної продукції у загальному обсязі пр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мислової продукції регіону, підвищення продукти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ності праці та виробн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цтва,</w:t>
            </w:r>
          </w:p>
          <w:p w:rsidR="00A131C8" w:rsidRPr="00EC2DC7" w:rsidRDefault="00A131C8" w:rsidP="00EC2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 xml:space="preserve"> енерго та ресурсо ефектив-ності, яко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ті послуг та стандартів життя нас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лення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Постій-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План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ходів з реалізації у 2016-2017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ках стр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тегії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кої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ті на пер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од до 2020 року, 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твердж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ний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шень-ням обласної ради від               31 березня 2016 року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№ 78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На конкурсній основі було відібрано 24 інвестиційну програму (пр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ект), що 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жуть реаліз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вуватися за рахунок коштів державного фонду регіон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льного розви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ку, на загальну суму 114753,812 тис.грн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gridAfter w:val="1"/>
          <w:wAfter w:w="13" w:type="dxa"/>
        </w:trPr>
        <w:tc>
          <w:tcPr>
            <w:tcW w:w="16019" w:type="dxa"/>
            <w:gridSpan w:val="19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DC7">
              <w:rPr>
                <w:rFonts w:ascii="Times New Roman" w:hAnsi="Times New Roman"/>
                <w:b/>
                <w:sz w:val="20"/>
                <w:szCs w:val="20"/>
              </w:rPr>
              <w:t>2.2 Фінансування програм (проектів) регіонального розвитку за рахунок коштів секторальної бюджетної підтримки ЄС</w:t>
            </w:r>
          </w:p>
        </w:tc>
      </w:tr>
      <w:tr w:rsidR="00A131C8" w:rsidTr="00EC2DC7">
        <w:trPr>
          <w:gridAfter w:val="1"/>
          <w:wAfter w:w="13" w:type="dxa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Подання      для конку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сного ві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бору Мі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регіону України проектів регіонал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 розв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тку, які ре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лізовувал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ся за рах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нок коштів секторал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ної бюдж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тної пі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тримки ЄС розробл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 відп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відно до завдань державної стратегії регіонал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 розв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тку на пер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од до 2020 року,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 xml:space="preserve">твердженою постановою Кабінету Міністрів України від </w:t>
            </w:r>
          </w:p>
          <w:p w:rsidR="00A131C8" w:rsidRPr="00EC2DC7" w:rsidRDefault="00A131C8" w:rsidP="00EC2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 xml:space="preserve"> 06 серпня 2014 року № 385 (далі – </w:t>
            </w:r>
          </w:p>
          <w:p w:rsidR="00A131C8" w:rsidRPr="00EC2DC7" w:rsidRDefault="00A131C8" w:rsidP="00EC2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Стратегія),</w:t>
            </w:r>
          </w:p>
          <w:p w:rsidR="00A131C8" w:rsidRPr="00EC2DC7" w:rsidRDefault="00A131C8" w:rsidP="00EC2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Зокрема програм регіонал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 розв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тку, схвал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 пост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новою 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бінету 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 xml:space="preserve">ністрів України від 07 жовтня 2015 року № 821 </w:t>
            </w:r>
          </w:p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2D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2D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2D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2D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2D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2D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2D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2D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2D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2D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5" w:type="dxa"/>
            <w:gridSpan w:val="3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2D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 xml:space="preserve">Подано </w:t>
            </w:r>
          </w:p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17 проектів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gridAfter w:val="1"/>
          <w:wAfter w:w="13" w:type="dxa"/>
        </w:trPr>
        <w:tc>
          <w:tcPr>
            <w:tcW w:w="16019" w:type="dxa"/>
            <w:gridSpan w:val="19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DC7">
              <w:rPr>
                <w:rFonts w:ascii="Times New Roman" w:hAnsi="Times New Roman"/>
                <w:b/>
                <w:sz w:val="20"/>
                <w:szCs w:val="20"/>
              </w:rPr>
              <w:t>2.3 Розширення фінансування програм (проектів) регіонального розвитку через механізм державно-приватного партнерства</w:t>
            </w:r>
          </w:p>
        </w:tc>
      </w:tr>
      <w:tr w:rsidR="00A131C8" w:rsidTr="00EC2DC7">
        <w:trPr>
          <w:gridAfter w:val="1"/>
          <w:wAfter w:w="13" w:type="dxa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Проведення інформ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ційно-роз’ясню-вальної та консульт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ційної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боти з пі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готовки проектів державно-приватного партнерства у регіонах, здійснення популяр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зації мех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нізму де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жавно-приватного партнерс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ва, зокрема засідань за «круглим столом» , конфере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цій за уча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тю предст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вників бі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несу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 – 2017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План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ходів з реалізації у 2016-2017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ках стр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тегії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кої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ті на пер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од до 2020 року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50,0 тис.</w:t>
            </w:r>
          </w:p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грн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50,0 тис.</w:t>
            </w:r>
          </w:p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грн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18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1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Кількість заходів, одиниць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18" w:lineRule="auto"/>
              <w:ind w:firstLine="4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74" w:type="dxa"/>
            <w:gridSpan w:val="2"/>
          </w:tcPr>
          <w:p w:rsidR="00A131C8" w:rsidRPr="00EC2DC7" w:rsidRDefault="00A131C8" w:rsidP="00EC2DC7">
            <w:pPr>
              <w:spacing w:after="0" w:line="218" w:lineRule="auto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3"/>
          </w:tcPr>
          <w:p w:rsidR="00A131C8" w:rsidRPr="00EC2DC7" w:rsidRDefault="00A131C8" w:rsidP="00EC2DC7">
            <w:pPr>
              <w:spacing w:after="0" w:line="218" w:lineRule="auto"/>
              <w:ind w:firstLine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gridSpan w:val="2"/>
          </w:tcPr>
          <w:p w:rsidR="00A131C8" w:rsidRPr="00EC2DC7" w:rsidRDefault="00A131C8" w:rsidP="00EC2DC7">
            <w:pPr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Забезпечено проведення інформаційно-    роз’яснювальної та консул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таційної роб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ти з предста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никами ділових кіл щодо поп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ляризації 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ханізму держ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вно-приватного партнерства та обговорення можливості реалізації на цих засадах відповідних інвестиційних проектів 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ступним 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 xml:space="preserve">ном: </w:t>
            </w:r>
          </w:p>
          <w:p w:rsidR="00A131C8" w:rsidRPr="00EC2DC7" w:rsidRDefault="00A131C8" w:rsidP="00EC2DC7">
            <w:pPr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 презентовано пропозиції щ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до здійснення державно-приватного партнерства з метою реаліз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ції проекту з модернізації та ефективного розвитку об’єктів порт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вої інфрастру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тури на базі ДП «Херсонс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кий морський торгівельний порт» 14 гру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 2017 року у Посольстві Литовської Республіки в Україні;</w:t>
            </w:r>
          </w:p>
          <w:p w:rsidR="00A131C8" w:rsidRPr="00EC2DC7" w:rsidRDefault="00A131C8" w:rsidP="00EC2DC7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 обговорено можливості будівництва сміттєпереро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 заводу в області як об’єкта держ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вно-приватного партнерства з представник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 xml:space="preserve">ми іноземних компаній </w:t>
            </w:r>
            <w:r w:rsidRPr="00EC2DC7">
              <w:rPr>
                <w:rFonts w:ascii="Times New Roman" w:hAnsi="Times New Roman"/>
                <w:spacing w:val="-6"/>
                <w:sz w:val="20"/>
                <w:szCs w:val="20"/>
              </w:rPr>
              <w:t>«China Western Power Industrial Co., Ltd» та «Shenwu Technology Group Corporation» (Китайська Н</w:t>
            </w:r>
            <w:r w:rsidRPr="00EC2DC7">
              <w:rPr>
                <w:rFonts w:ascii="Times New Roman" w:hAnsi="Times New Roman"/>
                <w:spacing w:val="-6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pacing w:val="-6"/>
                <w:sz w:val="20"/>
                <w:szCs w:val="20"/>
              </w:rPr>
              <w:t>родна Республ</w:t>
            </w:r>
            <w:r w:rsidRPr="00EC2DC7">
              <w:rPr>
                <w:rFonts w:ascii="Times New Roman" w:hAnsi="Times New Roman"/>
                <w:spacing w:val="-6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pacing w:val="-6"/>
                <w:sz w:val="20"/>
                <w:szCs w:val="20"/>
              </w:rPr>
              <w:t>ка) під час зді</w:t>
            </w:r>
            <w:r w:rsidRPr="00EC2DC7">
              <w:rPr>
                <w:rFonts w:ascii="Times New Roman" w:hAnsi="Times New Roman"/>
                <w:spacing w:val="-6"/>
                <w:sz w:val="20"/>
                <w:szCs w:val="20"/>
              </w:rPr>
              <w:t>й</w:t>
            </w:r>
            <w:r w:rsidRPr="00EC2DC7">
              <w:rPr>
                <w:rFonts w:ascii="Times New Roman" w:hAnsi="Times New Roman"/>
                <w:spacing w:val="-6"/>
                <w:sz w:val="20"/>
                <w:szCs w:val="20"/>
              </w:rPr>
              <w:t>сненого ними ознайомчого візиту в Херсо</w:t>
            </w:r>
            <w:r w:rsidRPr="00EC2DC7">
              <w:rPr>
                <w:rFonts w:ascii="Times New Roman" w:hAnsi="Times New Roman"/>
                <w:spacing w:val="-6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pacing w:val="-6"/>
                <w:sz w:val="20"/>
                <w:szCs w:val="20"/>
              </w:rPr>
              <w:t>ську область у грудні 2017 р</w:t>
            </w:r>
            <w:r w:rsidRPr="00EC2DC7">
              <w:rPr>
                <w:rFonts w:ascii="Times New Roman" w:hAnsi="Times New Roman"/>
                <w:spacing w:val="-6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pacing w:val="-6"/>
                <w:sz w:val="20"/>
                <w:szCs w:val="20"/>
              </w:rPr>
              <w:t>ку</w:t>
            </w:r>
          </w:p>
          <w:p w:rsidR="00A131C8" w:rsidRPr="00EC2DC7" w:rsidRDefault="00A131C8" w:rsidP="00EC2DC7">
            <w:pPr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c>
          <w:tcPr>
            <w:tcW w:w="16032" w:type="dxa"/>
            <w:gridSpan w:val="20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DC7">
              <w:rPr>
                <w:rFonts w:ascii="Times New Roman" w:hAnsi="Times New Roman"/>
                <w:b/>
                <w:sz w:val="20"/>
                <w:szCs w:val="20"/>
              </w:rPr>
              <w:t>2.4. Виконання та фінансування завдань Стратегії під час реалізації державних цільових, галузевих та бюджетних програм</w:t>
            </w:r>
          </w:p>
        </w:tc>
      </w:tr>
      <w:tr w:rsidR="00A131C8" w:rsidTr="00EC2DC7">
        <w:trPr>
          <w:trHeight w:val="118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17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2DC7">
              <w:rPr>
                <w:rFonts w:ascii="Times New Roman" w:hAnsi="Times New Roman"/>
                <w:b/>
                <w:sz w:val="20"/>
                <w:szCs w:val="20"/>
              </w:rPr>
              <w:t>2.4.1.Розвиток інфраструктури міст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1324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Розбудова дорожньої інфрастру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тури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2016-2017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План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ходів з реалізації у 2016-2017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ках стр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тегії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Хер-сон-ської 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ласті на період до 2020 року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pStyle w:val="a1"/>
              <w:spacing w:before="0" w:line="228" w:lineRule="auto"/>
              <w:ind w:right="-113" w:firstLine="0"/>
              <w:rPr>
                <w:rFonts w:ascii="Times New Roman" w:hAnsi="Times New Roman"/>
                <w:sz w:val="20"/>
              </w:rPr>
            </w:pPr>
            <w:r w:rsidRPr="00EC2DC7">
              <w:rPr>
                <w:rFonts w:ascii="Times New Roman" w:hAnsi="Times New Roman"/>
                <w:sz w:val="20"/>
              </w:rPr>
              <w:t>75858,3</w:t>
            </w: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  <w:r w:rsidRPr="00EC2DC7">
              <w:rPr>
                <w:rFonts w:ascii="Times New Roman" w:hAnsi="Times New Roman"/>
                <w:sz w:val="20"/>
              </w:rPr>
              <w:t>тис.грн</w:t>
            </w: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  <w:r w:rsidRPr="00EC2DC7">
              <w:rPr>
                <w:rFonts w:ascii="Times New Roman" w:hAnsi="Times New Roman"/>
                <w:sz w:val="20"/>
              </w:rPr>
              <w:t>75858,3</w:t>
            </w: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  <w:r w:rsidRPr="00EC2DC7">
              <w:rPr>
                <w:rFonts w:ascii="Times New Roman" w:hAnsi="Times New Roman"/>
                <w:sz w:val="20"/>
              </w:rPr>
              <w:t>тис.грн</w:t>
            </w: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  <w:r w:rsidRPr="00EC2DC7">
              <w:rPr>
                <w:rFonts w:ascii="Times New Roman" w:hAnsi="Times New Roman"/>
                <w:sz w:val="20"/>
              </w:rPr>
              <w:t>39753,3 тис.грн</w:t>
            </w: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  <w:r w:rsidRPr="00EC2DC7">
              <w:rPr>
                <w:rFonts w:ascii="Times New Roman" w:hAnsi="Times New Roman"/>
                <w:sz w:val="20"/>
              </w:rPr>
              <w:t>39753,3 тис.грн</w:t>
            </w: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Введення в експлуат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цію відр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монтованої  ділянки автомобіл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на дороги</w:t>
            </w:r>
          </w:p>
        </w:tc>
        <w:tc>
          <w:tcPr>
            <w:tcW w:w="992" w:type="dxa"/>
            <w:vAlign w:val="center"/>
          </w:tcPr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6,0 км"/>
              </w:smartTagPr>
              <w:r w:rsidRPr="00EC2DC7">
                <w:rPr>
                  <w:rFonts w:ascii="Times New Roman" w:hAnsi="Times New Roman"/>
                  <w:sz w:val="20"/>
                </w:rPr>
                <w:t>6,0 км</w:t>
              </w:r>
            </w:smartTag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6,0 км"/>
              </w:smartTagPr>
              <w:r w:rsidRPr="00EC2DC7">
                <w:rPr>
                  <w:rFonts w:ascii="Times New Roman" w:hAnsi="Times New Roman"/>
                  <w:sz w:val="20"/>
                </w:rPr>
                <w:t>6,0 км</w:t>
              </w:r>
            </w:smartTag>
            <w:r w:rsidRPr="00EC2DC7">
              <w:rPr>
                <w:rFonts w:ascii="Times New Roman" w:hAnsi="Times New Roman"/>
                <w:sz w:val="20"/>
              </w:rPr>
              <w:t xml:space="preserve"> </w:t>
            </w: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2" w:type="dxa"/>
            <w:gridSpan w:val="2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Виконано 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точний сере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ній ремонт 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томобільної дороги  Р-57 Олешки-Гола Пристань- Скадовськ на ділянці 8+000 – км 20+200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1775"/>
        </w:trPr>
        <w:tc>
          <w:tcPr>
            <w:tcW w:w="851" w:type="dxa"/>
            <w:vMerge w:val="restart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Розробле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 (оно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лення) мі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тобудівної документ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ції  насел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 пунктів області, впров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дження мі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тобудівного кадастру на території області</w:t>
            </w:r>
          </w:p>
        </w:tc>
        <w:tc>
          <w:tcPr>
            <w:tcW w:w="1134" w:type="dxa"/>
            <w:vMerge w:val="restart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2016-2017 роки</w:t>
            </w:r>
          </w:p>
        </w:tc>
        <w:tc>
          <w:tcPr>
            <w:tcW w:w="1134" w:type="dxa"/>
            <w:vMerge w:val="restart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План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ходів з реалізації у 2016-2017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ках стр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тегії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кої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ті на пер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од до 2020 року</w:t>
            </w:r>
          </w:p>
        </w:tc>
        <w:tc>
          <w:tcPr>
            <w:tcW w:w="1134" w:type="dxa"/>
            <w:vMerge w:val="restart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 xml:space="preserve">16642 </w:t>
            </w:r>
          </w:p>
        </w:tc>
        <w:tc>
          <w:tcPr>
            <w:tcW w:w="851" w:type="dxa"/>
            <w:vMerge w:val="restart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16642</w:t>
            </w:r>
          </w:p>
        </w:tc>
        <w:tc>
          <w:tcPr>
            <w:tcW w:w="992" w:type="dxa"/>
            <w:vMerge w:val="restart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16642</w:t>
            </w:r>
          </w:p>
        </w:tc>
        <w:tc>
          <w:tcPr>
            <w:tcW w:w="1134" w:type="dxa"/>
            <w:vMerge w:val="restart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16642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Кількість населених пунктів 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ласті, для яких розр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блено (он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влено) мі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тобудівну документ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цію, од.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72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vMerge w:val="restart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Оновлено г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неральні плани 41 населених пунктів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забезпеч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ність фіна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сування місцевими бюджетами розробле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 містоб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дівної 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кументації</w:t>
            </w:r>
          </w:p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659"/>
        </w:trPr>
        <w:tc>
          <w:tcPr>
            <w:tcW w:w="851" w:type="dxa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Кількість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створених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підрозділів служби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містобуді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</w:t>
            </w:r>
          </w:p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кадастру області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  <w:tc>
          <w:tcPr>
            <w:tcW w:w="1560" w:type="dxa"/>
            <w:gridSpan w:val="2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Відсутність у фінанс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вання зах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дів обласної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програми створення</w:t>
            </w:r>
          </w:p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містобуді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 када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тру області.</w:t>
            </w:r>
          </w:p>
        </w:tc>
      </w:tr>
      <w:tr w:rsidR="00A131C8" w:rsidTr="00EC2DC7">
        <w:trPr>
          <w:trHeight w:val="278"/>
        </w:trPr>
        <w:tc>
          <w:tcPr>
            <w:tcW w:w="16032" w:type="dxa"/>
            <w:gridSpan w:val="20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2DC7">
              <w:rPr>
                <w:rFonts w:ascii="Times New Roman" w:hAnsi="Times New Roman"/>
                <w:b/>
                <w:sz w:val="20"/>
                <w:szCs w:val="20"/>
              </w:rPr>
              <w:t>2.4.2. Підтримка інтегруючої ролі міст як центрів економічного та соціального розвитку</w:t>
            </w:r>
          </w:p>
        </w:tc>
      </w:tr>
      <w:tr w:rsidR="00A131C8" w:rsidTr="00EC2DC7">
        <w:trPr>
          <w:trHeight w:val="418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Підвищення ефективн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сті викор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стання 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формаці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й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 та 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мунікаці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й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 техн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логій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2016-2017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Програма економі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ного, 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ціального та культ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рного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кої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ті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2" w:type="dxa"/>
            <w:gridSpan w:val="2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</w:tcPr>
          <w:p w:rsidR="00A131C8" w:rsidRPr="00EC2DC7" w:rsidRDefault="00A131C8" w:rsidP="00EC2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Налагоджено співпрацю з інвестором ТОВ «Телем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режі України», яким у лютому 2017 року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вершено буд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вництво тел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радіокомунік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ційної вежі в с.Чонгар Ген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чеського рай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ну. Забезпеч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 відновлення радіосигналу національного мовника на території пр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леглих до ти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часово окуп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ваної території Автономної Республіки Крим районів: Генічеського, Новотроїцьк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го, частини Чаплинського. Залучено 4 млн грн. інвест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ційних коштів.</w:t>
            </w:r>
          </w:p>
          <w:p w:rsidR="00A131C8" w:rsidRPr="00EC2DC7" w:rsidRDefault="00A131C8" w:rsidP="00EC2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Проведено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боту щодо ві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новлення нац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онального 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 xml:space="preserve">лемовлення. </w:t>
            </w:r>
          </w:p>
          <w:p w:rsidR="00A131C8" w:rsidRPr="00EC2DC7" w:rsidRDefault="00A131C8" w:rsidP="00EC2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В грудні 2017 року запущено проект Конц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рну радіомо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лення, раді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зв'язку та тел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бачення з 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будови телер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діоретрансл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я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 xml:space="preserve">ційної вежі в Чаплинці. ЇЇ висоту буде збільшено із 92 до </w:t>
            </w:r>
            <w:smartTag w:uri="urn:schemas-microsoft-com:office:smarttags" w:element="metricconverter">
              <w:smartTagPr>
                <w:attr w:name="ProductID" w:val="130 метрів"/>
              </w:smartTagPr>
              <w:r w:rsidRPr="00EC2DC7">
                <w:rPr>
                  <w:rFonts w:ascii="Times New Roman" w:hAnsi="Times New Roman"/>
                  <w:sz w:val="20"/>
                  <w:szCs w:val="20"/>
                </w:rPr>
                <w:t>130 метрів</w:t>
              </w:r>
            </w:smartTag>
            <w:r w:rsidRPr="00EC2DC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Активно впр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ваджується на Херсонщині Проект «Радіо громад», який вже надав ко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кретні резул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тати. Громади сіл Рикове Г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нічеського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йону та Велика Лепетиха отримали ліц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нзію на право радіо-трансляції на території гр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мади. Цей 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новаційний проект пере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бачає встано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лення малоп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тужних раді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передавачів, які працюють в діапазоні 87,5-108 МГц в 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великих нас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лених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2212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Забезпече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 подал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шого розв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тку авіаці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й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 тран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порту для міжобла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 та міжнаро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 спол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чення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 – 2017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План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ходів з реалізації у 2016-2017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ках стр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тегії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Хер-сон-ської 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ласті на період до 2020 року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pStyle w:val="st12"/>
              <w:spacing w:before="0" w:after="0" w:line="216" w:lineRule="auto"/>
              <w:jc w:val="left"/>
              <w:rPr>
                <w:rStyle w:val="st82"/>
                <w:szCs w:val="20"/>
                <w:lang w:val="uk-UA"/>
              </w:rPr>
            </w:pPr>
            <w:r w:rsidRPr="00EC2DC7">
              <w:rPr>
                <w:rStyle w:val="st82"/>
                <w:szCs w:val="20"/>
                <w:lang w:val="uk-UA"/>
              </w:rPr>
              <w:t>98223,916</w:t>
            </w: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  <w:r w:rsidRPr="00EC2DC7">
              <w:rPr>
                <w:rStyle w:val="st82"/>
                <w:rFonts w:ascii="Times New Roman" w:hAnsi="Times New Roman"/>
              </w:rPr>
              <w:t>тис.грн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pStyle w:val="st12"/>
              <w:spacing w:before="0" w:after="0" w:line="216" w:lineRule="auto"/>
              <w:jc w:val="left"/>
              <w:rPr>
                <w:rStyle w:val="st82"/>
                <w:szCs w:val="20"/>
                <w:lang w:val="uk-UA"/>
              </w:rPr>
            </w:pPr>
            <w:r w:rsidRPr="00EC2DC7">
              <w:rPr>
                <w:rStyle w:val="st82"/>
                <w:szCs w:val="20"/>
                <w:lang w:val="uk-UA"/>
              </w:rPr>
              <w:t>14300,752</w:t>
            </w:r>
          </w:p>
          <w:p w:rsidR="00A131C8" w:rsidRPr="00EC2DC7" w:rsidRDefault="00A131C8" w:rsidP="00EC2DC7">
            <w:pPr>
              <w:pStyle w:val="a1"/>
              <w:spacing w:before="0" w:line="228" w:lineRule="auto"/>
              <w:ind w:left="-673" w:right="-113"/>
              <w:rPr>
                <w:rFonts w:ascii="Times New Roman" w:hAnsi="Times New Roman"/>
                <w:sz w:val="20"/>
              </w:rPr>
            </w:pPr>
            <w:r w:rsidRPr="00EC2DC7">
              <w:rPr>
                <w:rStyle w:val="st82"/>
                <w:rFonts w:ascii="Times New Roman" w:hAnsi="Times New Roman"/>
              </w:rPr>
              <w:t>тис.грн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pStyle w:val="st12"/>
              <w:spacing w:before="0" w:after="0" w:line="216" w:lineRule="auto"/>
              <w:jc w:val="left"/>
              <w:rPr>
                <w:rStyle w:val="st82"/>
                <w:szCs w:val="20"/>
                <w:lang w:val="uk-UA"/>
              </w:rPr>
            </w:pPr>
            <w:r w:rsidRPr="00EC2DC7">
              <w:rPr>
                <w:rStyle w:val="st82"/>
                <w:szCs w:val="20"/>
                <w:lang w:val="uk-UA"/>
              </w:rPr>
              <w:t>98223,916</w:t>
            </w: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rPr>
                <w:rFonts w:ascii="Times New Roman" w:hAnsi="Times New Roman"/>
                <w:sz w:val="20"/>
              </w:rPr>
            </w:pPr>
            <w:r w:rsidRPr="00EC2DC7">
              <w:rPr>
                <w:rStyle w:val="st82"/>
                <w:rFonts w:ascii="Times New Roman" w:hAnsi="Times New Roman"/>
              </w:rPr>
              <w:t>тис.грн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pStyle w:val="a1"/>
              <w:spacing w:line="228" w:lineRule="auto"/>
              <w:ind w:left="-673" w:right="-113"/>
              <w:rPr>
                <w:rFonts w:ascii="Times New Roman" w:hAnsi="Times New Roman"/>
                <w:sz w:val="20"/>
              </w:rPr>
            </w:pPr>
            <w:r w:rsidRPr="00EC2DC7">
              <w:rPr>
                <w:rFonts w:ascii="Times New Roman" w:hAnsi="Times New Roman"/>
                <w:sz w:val="20"/>
              </w:rPr>
              <w:t>14300,752</w:t>
            </w:r>
          </w:p>
          <w:p w:rsidR="00A131C8" w:rsidRPr="00EC2DC7" w:rsidRDefault="00A131C8" w:rsidP="00EC2DC7">
            <w:pPr>
              <w:pStyle w:val="a1"/>
              <w:spacing w:before="0" w:line="228" w:lineRule="auto"/>
              <w:ind w:left="-673" w:right="-113"/>
              <w:rPr>
                <w:rFonts w:ascii="Times New Roman" w:hAnsi="Times New Roman"/>
                <w:sz w:val="20"/>
              </w:rPr>
            </w:pPr>
            <w:r w:rsidRPr="00EC2DC7">
              <w:rPr>
                <w:rFonts w:ascii="Times New Roman" w:hAnsi="Times New Roman"/>
                <w:sz w:val="20"/>
              </w:rPr>
              <w:t>тис.грн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Збільшення кількості регулярних авіаційних рейсів з міжнаро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 аер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порту «Херсон»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В квітні по2017 року відкрито регулярне сп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лучення Херсон-Київ –Херсон.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За рахунок 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штів ДФРР завершено ре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лізацію прое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ту «Відновл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ю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вальні роботи покриття,               РД-1, РД-2, перону в аер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 xml:space="preserve">порту «Херсон» 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237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17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2DC7">
              <w:rPr>
                <w:rFonts w:ascii="Times New Roman" w:hAnsi="Times New Roman"/>
                <w:b/>
                <w:sz w:val="20"/>
                <w:szCs w:val="20"/>
              </w:rPr>
              <w:t>2.4.3.Поліпшення транспортної доступності в межах регіону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3446"/>
        </w:trPr>
        <w:tc>
          <w:tcPr>
            <w:tcW w:w="851" w:type="dxa"/>
            <w:vMerge w:val="restart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Покраще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 стану доріг заг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льного 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ристування</w:t>
            </w:r>
          </w:p>
        </w:tc>
        <w:tc>
          <w:tcPr>
            <w:tcW w:w="1134" w:type="dxa"/>
            <w:vMerge w:val="restart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EC2DC7">
              <w:rPr>
                <w:rFonts w:ascii="Times New Roman" w:hAnsi="Times New Roman"/>
                <w:sz w:val="20"/>
                <w:lang w:val="ru-RU"/>
              </w:rPr>
              <w:t xml:space="preserve">13320,1 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EC2DC7">
              <w:rPr>
                <w:rFonts w:ascii="Times New Roman" w:hAnsi="Times New Roman"/>
                <w:sz w:val="20"/>
                <w:lang w:val="ru-RU"/>
              </w:rPr>
              <w:t xml:space="preserve">13320,1 </w:t>
            </w: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EC2DC7">
              <w:rPr>
                <w:rFonts w:ascii="Times New Roman" w:hAnsi="Times New Roman"/>
                <w:sz w:val="20"/>
                <w:lang w:val="ru-RU"/>
              </w:rPr>
              <w:t xml:space="preserve">13320,1 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pStyle w:val="a1"/>
              <w:spacing w:before="0"/>
              <w:ind w:left="-113" w:right="-113"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EC2DC7">
              <w:rPr>
                <w:rFonts w:ascii="Times New Roman" w:hAnsi="Times New Roman"/>
                <w:sz w:val="20"/>
                <w:lang w:val="ru-RU"/>
              </w:rPr>
              <w:t xml:space="preserve">13320,1 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  <w:r w:rsidRPr="00EC2DC7">
              <w:rPr>
                <w:rFonts w:ascii="Times New Roman" w:hAnsi="Times New Roman"/>
                <w:sz w:val="20"/>
              </w:rPr>
              <w:t>Введення в експлуатацію відремонтов</w:t>
            </w:r>
            <w:r w:rsidRPr="00EC2DC7">
              <w:rPr>
                <w:rFonts w:ascii="Times New Roman" w:hAnsi="Times New Roman"/>
                <w:sz w:val="20"/>
              </w:rPr>
              <w:t>а</w:t>
            </w:r>
            <w:r w:rsidRPr="00EC2DC7">
              <w:rPr>
                <w:rFonts w:ascii="Times New Roman" w:hAnsi="Times New Roman"/>
                <w:sz w:val="20"/>
              </w:rPr>
              <w:t>ної  ділянки автомобільна дороги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jc w:val="center"/>
              <w:rPr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  <w:lang w:val="ru-RU"/>
              </w:rPr>
              <w:t>1,5 км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jc w:val="center"/>
              <w:rPr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  <w:lang w:val="ru-RU"/>
              </w:rPr>
              <w:t>1,5 км</w:t>
            </w:r>
          </w:p>
        </w:tc>
        <w:tc>
          <w:tcPr>
            <w:tcW w:w="431" w:type="dxa"/>
          </w:tcPr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EC2DC7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A131C8" w:rsidRPr="00EC2DC7" w:rsidRDefault="00A131C8" w:rsidP="00EC2DC7">
            <w:pPr>
              <w:pStyle w:val="a1"/>
              <w:spacing w:before="0" w:line="228" w:lineRule="auto"/>
              <w:ind w:left="-57" w:right="-57" w:firstLine="0"/>
              <w:rPr>
                <w:rFonts w:ascii="Times New Roman" w:hAnsi="Times New Roman"/>
                <w:sz w:val="20"/>
              </w:rPr>
            </w:pPr>
            <w:r w:rsidRPr="00EC2DC7">
              <w:rPr>
                <w:rFonts w:ascii="Times New Roman" w:hAnsi="Times New Roman"/>
                <w:sz w:val="20"/>
              </w:rPr>
              <w:t>Виконано пото</w:t>
            </w:r>
            <w:r w:rsidRPr="00EC2DC7">
              <w:rPr>
                <w:rFonts w:ascii="Times New Roman" w:hAnsi="Times New Roman"/>
                <w:sz w:val="20"/>
              </w:rPr>
              <w:t>ч</w:t>
            </w:r>
            <w:r w:rsidRPr="00EC2DC7">
              <w:rPr>
                <w:rFonts w:ascii="Times New Roman" w:hAnsi="Times New Roman"/>
                <w:sz w:val="20"/>
              </w:rPr>
              <w:t>ний середній р</w:t>
            </w:r>
            <w:r w:rsidRPr="00EC2DC7">
              <w:rPr>
                <w:rFonts w:ascii="Times New Roman" w:hAnsi="Times New Roman"/>
                <w:sz w:val="20"/>
              </w:rPr>
              <w:t>е</w:t>
            </w:r>
            <w:r w:rsidRPr="00EC2DC7">
              <w:rPr>
                <w:rFonts w:ascii="Times New Roman" w:hAnsi="Times New Roman"/>
                <w:sz w:val="20"/>
              </w:rPr>
              <w:t>монт автомобіл</w:t>
            </w:r>
            <w:r w:rsidRPr="00EC2DC7">
              <w:rPr>
                <w:rFonts w:ascii="Times New Roman" w:hAnsi="Times New Roman"/>
                <w:sz w:val="20"/>
              </w:rPr>
              <w:t>ь</w:t>
            </w:r>
            <w:r w:rsidRPr="00EC2DC7">
              <w:rPr>
                <w:rFonts w:ascii="Times New Roman" w:hAnsi="Times New Roman"/>
                <w:sz w:val="20"/>
              </w:rPr>
              <w:t xml:space="preserve">ної дороги </w:t>
            </w:r>
            <w:r w:rsidRPr="00EC2DC7">
              <w:rPr>
                <w:rFonts w:ascii="Times New Roman" w:hAnsi="Times New Roman"/>
                <w:sz w:val="20"/>
                <w:lang w:val="ru-RU"/>
              </w:rPr>
              <w:t>М-14  Одеса-Мелытополь-Новоазовськ (на Таганрог) на ділянцікм 207+400--км 207+900, км 209+000 –км 210+000</w:t>
            </w:r>
          </w:p>
        </w:tc>
        <w:tc>
          <w:tcPr>
            <w:tcW w:w="1289" w:type="dxa"/>
            <w:gridSpan w:val="2"/>
            <w:vMerge w:val="restart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850"/>
        </w:trPr>
        <w:tc>
          <w:tcPr>
            <w:tcW w:w="851" w:type="dxa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  <w:r w:rsidRPr="00EC2DC7">
              <w:rPr>
                <w:rFonts w:ascii="Times New Roman" w:hAnsi="Times New Roman"/>
                <w:sz w:val="20"/>
              </w:rPr>
              <w:t>113754,3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pStyle w:val="a1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C2DC7">
              <w:rPr>
                <w:rFonts w:ascii="Times New Roman" w:hAnsi="Times New Roman"/>
                <w:sz w:val="20"/>
              </w:rPr>
              <w:t>113754,3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pStyle w:val="a1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C2DC7">
              <w:rPr>
                <w:rFonts w:ascii="Times New Roman" w:hAnsi="Times New Roman"/>
                <w:sz w:val="20"/>
              </w:rPr>
              <w:t>11375</w:t>
            </w:r>
          </w:p>
          <w:p w:rsidR="00A131C8" w:rsidRPr="00EC2DC7" w:rsidRDefault="00A131C8" w:rsidP="00EC2DC7">
            <w:pPr>
              <w:pStyle w:val="a1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C2DC7">
              <w:rPr>
                <w:rFonts w:ascii="Times New Roman" w:hAnsi="Times New Roman"/>
                <w:sz w:val="20"/>
              </w:rPr>
              <w:t>4,3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pStyle w:val="a1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C2DC7">
              <w:rPr>
                <w:rFonts w:ascii="Times New Roman" w:hAnsi="Times New Roman"/>
                <w:sz w:val="20"/>
              </w:rPr>
              <w:t>11375</w:t>
            </w:r>
          </w:p>
          <w:p w:rsidR="00A131C8" w:rsidRPr="00EC2DC7" w:rsidRDefault="00A131C8" w:rsidP="00EC2DC7">
            <w:pPr>
              <w:pStyle w:val="a1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C2DC7">
              <w:rPr>
                <w:rFonts w:ascii="Times New Roman" w:hAnsi="Times New Roman"/>
                <w:sz w:val="20"/>
              </w:rPr>
              <w:t>4,3</w:t>
            </w:r>
          </w:p>
        </w:tc>
        <w:tc>
          <w:tcPr>
            <w:tcW w:w="1276" w:type="dxa"/>
            <w:vAlign w:val="center"/>
          </w:tcPr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  <w:r w:rsidRPr="00EC2DC7">
              <w:rPr>
                <w:rFonts w:ascii="Times New Roman" w:hAnsi="Times New Roman"/>
                <w:sz w:val="20"/>
              </w:rPr>
              <w:t>Введення в експлуатацію відремонтов</w:t>
            </w:r>
            <w:r w:rsidRPr="00EC2DC7">
              <w:rPr>
                <w:rFonts w:ascii="Times New Roman" w:hAnsi="Times New Roman"/>
                <w:sz w:val="20"/>
              </w:rPr>
              <w:t>а</w:t>
            </w:r>
            <w:r w:rsidRPr="00EC2DC7">
              <w:rPr>
                <w:rFonts w:ascii="Times New Roman" w:hAnsi="Times New Roman"/>
                <w:sz w:val="20"/>
              </w:rPr>
              <w:t>нихділянока</w:t>
            </w:r>
            <w:r w:rsidRPr="00EC2DC7">
              <w:rPr>
                <w:rFonts w:ascii="Times New Roman" w:hAnsi="Times New Roman"/>
                <w:sz w:val="20"/>
              </w:rPr>
              <w:t>в</w:t>
            </w:r>
            <w:r w:rsidRPr="00EC2DC7">
              <w:rPr>
                <w:rFonts w:ascii="Times New Roman" w:hAnsi="Times New Roman"/>
                <w:sz w:val="20"/>
              </w:rPr>
              <w:t>томобільна дороги</w:t>
            </w:r>
          </w:p>
        </w:tc>
        <w:tc>
          <w:tcPr>
            <w:tcW w:w="992" w:type="dxa"/>
            <w:vAlign w:val="center"/>
          </w:tcPr>
          <w:p w:rsidR="00A131C8" w:rsidRPr="00EC2DC7" w:rsidRDefault="00A131C8" w:rsidP="00EC2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14,54 км</w:t>
            </w:r>
          </w:p>
        </w:tc>
        <w:tc>
          <w:tcPr>
            <w:tcW w:w="987" w:type="dxa"/>
            <w:gridSpan w:val="3"/>
            <w:vAlign w:val="center"/>
          </w:tcPr>
          <w:p w:rsidR="00A131C8" w:rsidRPr="00EC2DC7" w:rsidRDefault="00A131C8" w:rsidP="00EC2DC7">
            <w:pPr>
              <w:jc w:val="center"/>
              <w:rPr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14,54 км</w:t>
            </w:r>
          </w:p>
        </w:tc>
        <w:tc>
          <w:tcPr>
            <w:tcW w:w="431" w:type="dxa"/>
            <w:vAlign w:val="center"/>
          </w:tcPr>
          <w:p w:rsidR="00A131C8" w:rsidRPr="00EC2DC7" w:rsidRDefault="00A131C8" w:rsidP="00EC2DC7">
            <w:pPr>
              <w:jc w:val="center"/>
              <w:rPr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A131C8" w:rsidRPr="00EC2DC7" w:rsidRDefault="00A131C8" w:rsidP="00EC2DC7">
            <w:pPr>
              <w:pStyle w:val="a1"/>
              <w:ind w:left="-57" w:right="-57" w:firstLine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EC2DC7">
              <w:rPr>
                <w:rFonts w:ascii="Times New Roman" w:hAnsi="Times New Roman"/>
                <w:sz w:val="20"/>
              </w:rPr>
              <w:t>Виконано пото</w:t>
            </w:r>
            <w:r w:rsidRPr="00EC2DC7">
              <w:rPr>
                <w:rFonts w:ascii="Times New Roman" w:hAnsi="Times New Roman"/>
                <w:sz w:val="20"/>
              </w:rPr>
              <w:t>ч</w:t>
            </w:r>
            <w:r w:rsidRPr="00EC2DC7">
              <w:rPr>
                <w:rFonts w:ascii="Times New Roman" w:hAnsi="Times New Roman"/>
                <w:sz w:val="20"/>
              </w:rPr>
              <w:t>ний середній р</w:t>
            </w:r>
            <w:r w:rsidRPr="00EC2DC7">
              <w:rPr>
                <w:rFonts w:ascii="Times New Roman" w:hAnsi="Times New Roman"/>
                <w:sz w:val="20"/>
              </w:rPr>
              <w:t>е</w:t>
            </w:r>
            <w:r w:rsidRPr="00EC2DC7">
              <w:rPr>
                <w:rFonts w:ascii="Times New Roman" w:hAnsi="Times New Roman"/>
                <w:sz w:val="20"/>
              </w:rPr>
              <w:t>монт автомобіл</w:t>
            </w:r>
            <w:r w:rsidRPr="00EC2DC7">
              <w:rPr>
                <w:rFonts w:ascii="Times New Roman" w:hAnsi="Times New Roman"/>
                <w:sz w:val="20"/>
              </w:rPr>
              <w:t>ь</w:t>
            </w:r>
            <w:r w:rsidRPr="00EC2DC7">
              <w:rPr>
                <w:rFonts w:ascii="Times New Roman" w:hAnsi="Times New Roman"/>
                <w:sz w:val="20"/>
              </w:rPr>
              <w:t>ної дороги Т-04-03 Мар’янське-Берислав-/Р-47/ на 6-ти ділянках загальною прот</w:t>
            </w:r>
            <w:r w:rsidRPr="00EC2DC7">
              <w:rPr>
                <w:rFonts w:ascii="Times New Roman" w:hAnsi="Times New Roman"/>
                <w:sz w:val="20"/>
              </w:rPr>
              <w:t>я</w:t>
            </w:r>
            <w:r w:rsidRPr="00EC2DC7">
              <w:rPr>
                <w:rFonts w:ascii="Times New Roman" w:hAnsi="Times New Roman"/>
                <w:sz w:val="20"/>
              </w:rPr>
              <w:t>жністю 14,54 км.</w:t>
            </w:r>
          </w:p>
          <w:p w:rsidR="00A131C8" w:rsidRPr="00EC2DC7" w:rsidRDefault="00A131C8" w:rsidP="00EC2DC7">
            <w:pPr>
              <w:pStyle w:val="a1"/>
              <w:ind w:left="-57" w:right="-57" w:firstLine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EC2DC7">
              <w:rPr>
                <w:rFonts w:ascii="Times New Roman" w:hAnsi="Times New Roman"/>
                <w:sz w:val="20"/>
              </w:rPr>
              <w:t>-км 30+000- км 36+000;</w:t>
            </w:r>
          </w:p>
          <w:p w:rsidR="00A131C8" w:rsidRPr="00EC2DC7" w:rsidRDefault="00A131C8" w:rsidP="00EC2DC7">
            <w:pPr>
              <w:pStyle w:val="a1"/>
              <w:ind w:left="-57" w:right="-57" w:firstLine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EC2DC7">
              <w:rPr>
                <w:rFonts w:ascii="Times New Roman" w:hAnsi="Times New Roman"/>
                <w:sz w:val="20"/>
              </w:rPr>
              <w:t>- км 43+600 – км 46+600;</w:t>
            </w:r>
          </w:p>
          <w:p w:rsidR="00A131C8" w:rsidRPr="00EC2DC7" w:rsidRDefault="00A131C8" w:rsidP="00EC2DC7">
            <w:pPr>
              <w:pStyle w:val="a1"/>
              <w:ind w:left="-57" w:right="-57" w:firstLine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EC2DC7">
              <w:rPr>
                <w:rFonts w:ascii="Times New Roman" w:hAnsi="Times New Roman"/>
                <w:sz w:val="20"/>
              </w:rPr>
              <w:t>- км 48+800-км 50+000;</w:t>
            </w:r>
          </w:p>
          <w:p w:rsidR="00A131C8" w:rsidRPr="00EC2DC7" w:rsidRDefault="00A131C8" w:rsidP="00EC2DC7">
            <w:pPr>
              <w:pStyle w:val="a1"/>
              <w:ind w:left="-57" w:right="-57" w:firstLine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EC2DC7">
              <w:rPr>
                <w:rFonts w:ascii="Times New Roman" w:hAnsi="Times New Roman"/>
                <w:sz w:val="20"/>
              </w:rPr>
              <w:t>-км 53+900 – км 55+400;</w:t>
            </w:r>
          </w:p>
          <w:p w:rsidR="00A131C8" w:rsidRPr="00EC2DC7" w:rsidRDefault="00A131C8" w:rsidP="00EC2DC7">
            <w:pPr>
              <w:pStyle w:val="a1"/>
              <w:ind w:left="-57" w:right="-57" w:firstLine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EC2DC7">
              <w:rPr>
                <w:rFonts w:ascii="Times New Roman" w:hAnsi="Times New Roman"/>
                <w:sz w:val="20"/>
              </w:rPr>
              <w:t>- км 63+200 – км 65+500 (на ділянці протяжністю 900 м);</w:t>
            </w:r>
          </w:p>
          <w:p w:rsidR="00A131C8" w:rsidRPr="00EC2DC7" w:rsidRDefault="00A131C8" w:rsidP="00EC2DC7">
            <w:pPr>
              <w:pStyle w:val="a1"/>
              <w:spacing w:before="0"/>
              <w:ind w:left="-57" w:right="-57" w:firstLine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EC2DC7">
              <w:rPr>
                <w:rFonts w:ascii="Times New Roman" w:hAnsi="Times New Roman"/>
                <w:sz w:val="20"/>
              </w:rPr>
              <w:t xml:space="preserve">-  км 57+000-58+400 та 58+860-59+400 </w:t>
            </w:r>
          </w:p>
        </w:tc>
        <w:tc>
          <w:tcPr>
            <w:tcW w:w="1289" w:type="dxa"/>
            <w:gridSpan w:val="2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2909"/>
        </w:trPr>
        <w:tc>
          <w:tcPr>
            <w:tcW w:w="851" w:type="dxa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EC2DC7">
              <w:rPr>
                <w:rFonts w:ascii="Times New Roman" w:hAnsi="Times New Roman"/>
                <w:sz w:val="20"/>
                <w:lang w:val="ru-RU"/>
              </w:rPr>
              <w:t>30947,6</w:t>
            </w: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EC2DC7">
              <w:rPr>
                <w:rFonts w:ascii="Times New Roman" w:hAnsi="Times New Roman"/>
                <w:sz w:val="20"/>
                <w:lang w:val="ru-RU"/>
              </w:rPr>
              <w:t>30947,6</w:t>
            </w: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EC2DC7">
              <w:rPr>
                <w:rFonts w:ascii="Times New Roman" w:hAnsi="Times New Roman"/>
                <w:sz w:val="20"/>
                <w:lang w:val="ru-RU"/>
              </w:rPr>
              <w:t>30947,6</w:t>
            </w: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EC2DC7">
              <w:rPr>
                <w:rFonts w:ascii="Times New Roman" w:hAnsi="Times New Roman"/>
                <w:sz w:val="20"/>
                <w:lang w:val="ru-RU"/>
              </w:rPr>
              <w:t>30947,6</w:t>
            </w:r>
          </w:p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131C8" w:rsidRPr="00EC2DC7" w:rsidRDefault="00A131C8" w:rsidP="00EC2DC7">
            <w:pPr>
              <w:pStyle w:val="a1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0"/>
              </w:rPr>
            </w:pPr>
            <w:r w:rsidRPr="00EC2DC7">
              <w:rPr>
                <w:rFonts w:ascii="Times New Roman" w:hAnsi="Times New Roman"/>
                <w:sz w:val="20"/>
              </w:rPr>
              <w:t>Введення в експлуатацію відремонтов</w:t>
            </w:r>
            <w:r w:rsidRPr="00EC2DC7">
              <w:rPr>
                <w:rFonts w:ascii="Times New Roman" w:hAnsi="Times New Roman"/>
                <w:sz w:val="20"/>
              </w:rPr>
              <w:t>а</w:t>
            </w:r>
            <w:r w:rsidRPr="00EC2DC7">
              <w:rPr>
                <w:rFonts w:ascii="Times New Roman" w:hAnsi="Times New Roman"/>
                <w:sz w:val="20"/>
              </w:rPr>
              <w:t>ної  ділянки автомобільна дороги</w:t>
            </w:r>
          </w:p>
        </w:tc>
        <w:tc>
          <w:tcPr>
            <w:tcW w:w="992" w:type="dxa"/>
            <w:vAlign w:val="center"/>
          </w:tcPr>
          <w:p w:rsidR="00A131C8" w:rsidRPr="00EC2DC7" w:rsidRDefault="00A131C8" w:rsidP="00EC2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6,0 км</w:t>
            </w:r>
          </w:p>
        </w:tc>
        <w:tc>
          <w:tcPr>
            <w:tcW w:w="987" w:type="dxa"/>
            <w:gridSpan w:val="3"/>
            <w:vAlign w:val="center"/>
          </w:tcPr>
          <w:p w:rsidR="00A131C8" w:rsidRPr="00EC2DC7" w:rsidRDefault="00A131C8" w:rsidP="00EC2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6,0 км</w:t>
            </w:r>
          </w:p>
        </w:tc>
        <w:tc>
          <w:tcPr>
            <w:tcW w:w="431" w:type="dxa"/>
            <w:vAlign w:val="center"/>
          </w:tcPr>
          <w:p w:rsidR="00A131C8" w:rsidRPr="00EC2DC7" w:rsidRDefault="00A131C8" w:rsidP="00EC2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131C8" w:rsidRPr="00EC2DC7" w:rsidRDefault="00A131C8" w:rsidP="00EC2DC7">
            <w:pPr>
              <w:pStyle w:val="a1"/>
              <w:spacing w:line="228" w:lineRule="auto"/>
              <w:ind w:left="-57" w:right="-57" w:firstLine="0"/>
              <w:jc w:val="both"/>
              <w:rPr>
                <w:rFonts w:ascii="Times New Roman" w:hAnsi="Times New Roman"/>
                <w:sz w:val="20"/>
              </w:rPr>
            </w:pPr>
            <w:r w:rsidRPr="00EC2DC7">
              <w:rPr>
                <w:rFonts w:ascii="Times New Roman" w:hAnsi="Times New Roman"/>
                <w:sz w:val="20"/>
              </w:rPr>
              <w:t>Виконано пото</w:t>
            </w:r>
            <w:r w:rsidRPr="00EC2DC7">
              <w:rPr>
                <w:rFonts w:ascii="Times New Roman" w:hAnsi="Times New Roman"/>
                <w:sz w:val="20"/>
              </w:rPr>
              <w:t>ч</w:t>
            </w:r>
            <w:r w:rsidRPr="00EC2DC7">
              <w:rPr>
                <w:rFonts w:ascii="Times New Roman" w:hAnsi="Times New Roman"/>
                <w:sz w:val="20"/>
              </w:rPr>
              <w:t>ний середній р</w:t>
            </w:r>
            <w:r w:rsidRPr="00EC2DC7">
              <w:rPr>
                <w:rFonts w:ascii="Times New Roman" w:hAnsi="Times New Roman"/>
                <w:sz w:val="20"/>
              </w:rPr>
              <w:t>е</w:t>
            </w:r>
            <w:r w:rsidRPr="00EC2DC7">
              <w:rPr>
                <w:rFonts w:ascii="Times New Roman" w:hAnsi="Times New Roman"/>
                <w:sz w:val="20"/>
              </w:rPr>
              <w:t>монт автомобіл</w:t>
            </w:r>
            <w:r w:rsidRPr="00EC2DC7">
              <w:rPr>
                <w:rFonts w:ascii="Times New Roman" w:hAnsi="Times New Roman"/>
                <w:sz w:val="20"/>
              </w:rPr>
              <w:t>ь</w:t>
            </w:r>
            <w:r w:rsidRPr="00EC2DC7">
              <w:rPr>
                <w:rFonts w:ascii="Times New Roman" w:hAnsi="Times New Roman"/>
                <w:sz w:val="20"/>
              </w:rPr>
              <w:t>ної дороги О220225 межа Миколаївської області – Стані</w:t>
            </w:r>
            <w:r w:rsidRPr="00EC2DC7">
              <w:rPr>
                <w:rFonts w:ascii="Times New Roman" w:hAnsi="Times New Roman"/>
                <w:sz w:val="20"/>
              </w:rPr>
              <w:t>с</w:t>
            </w:r>
            <w:r w:rsidRPr="00EC2DC7">
              <w:rPr>
                <w:rFonts w:ascii="Times New Roman" w:hAnsi="Times New Roman"/>
                <w:sz w:val="20"/>
              </w:rPr>
              <w:t>лав-Білозерка на ділянці км 33+600 –                    км 39+600</w:t>
            </w:r>
          </w:p>
        </w:tc>
        <w:tc>
          <w:tcPr>
            <w:tcW w:w="1289" w:type="dxa"/>
            <w:gridSpan w:val="2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2212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Підтримка індивіду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льного ж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тлового будівництва на селі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2016- 2017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Регіон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льна пр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грама 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дивіду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льного житлового будівни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тва на селі та полі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шення житлових умов сіл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ського населення «Власний дім» на 2012 – 2020 роки (рішення сесії обл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сної ради від 30 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стопада 2011 року № 337)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58600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19209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49211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19209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Кількість сільських сімей, що поліпшили житлово-побутові умови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EC2DC7"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431" w:type="dxa"/>
          </w:tcPr>
          <w:p w:rsidR="00A131C8" w:rsidRPr="00EC2DC7" w:rsidRDefault="00A131C8" w:rsidP="00EC2DC7">
            <w:pPr>
              <w:spacing w:after="0" w:line="230" w:lineRule="auto"/>
              <w:ind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+253</w:t>
            </w:r>
          </w:p>
        </w:tc>
        <w:tc>
          <w:tcPr>
            <w:tcW w:w="1701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Виконання пок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зників до план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вого завдання становить 141,4%.</w:t>
            </w:r>
          </w:p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Поліпшено жи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лово-побутові умови 414 сіл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ським  сім`ям, які мешкають у понад 80 насел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 пунктах 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ласті:</w:t>
            </w:r>
          </w:p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-86 сімей пр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дбали 86 індив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дуальних житл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вих будинків загальною пл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щею більше 7 тис. кв. м; 112 сімей збудували та реконстру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ю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вали із викори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танням енерго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берігаючих 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теріалів індив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дуальне житло загальною пл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щею близько 14 тис. кв. м.</w:t>
            </w:r>
          </w:p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Реконструйовано недобудовану адміністративну будівлю під 72-квартирний жи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ловий будинок в смт Чаплинка 103 родини г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зофікували свої сдиби;</w:t>
            </w:r>
          </w:p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41 сім`я отрим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ла креди на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виток власного сільського 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двір`я.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2212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Надання державної підтримки для розви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ку сільськ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го госп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дарства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2016-2017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Постанова Кабінету Міністрів України від 29 кв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тня 2015 року № 300 "Про затве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дження Порядку викори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тання 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штів, 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редбач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 у держа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ному 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ю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джеті для фінанс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вої пі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тримки заходів в агропр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мислов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му ко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плексі шляхом здеше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лення кредитів"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7723,000 тис грн</w:t>
            </w:r>
          </w:p>
          <w:p w:rsidR="00A131C8" w:rsidRPr="00EC2DC7" w:rsidRDefault="00A131C8" w:rsidP="00EC2DC7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7723,000 тис грн</w:t>
            </w:r>
          </w:p>
          <w:p w:rsidR="00A131C8" w:rsidRPr="00EC2DC7" w:rsidRDefault="00A131C8" w:rsidP="00EC2DC7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7723,000 тис грн</w:t>
            </w:r>
          </w:p>
          <w:p w:rsidR="00A131C8" w:rsidRPr="00EC2DC7" w:rsidRDefault="00A131C8" w:rsidP="00EC2DC7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7723,000 тис грн</w:t>
            </w:r>
          </w:p>
          <w:p w:rsidR="00A131C8" w:rsidRPr="00EC2DC7" w:rsidRDefault="00A131C8" w:rsidP="00EC2DC7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Обсяг вал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вої  прод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кції сільс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кого госп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дарства у цінах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2010 року,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млн грн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10966,4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11111,3</w:t>
            </w:r>
          </w:p>
        </w:tc>
        <w:tc>
          <w:tcPr>
            <w:tcW w:w="431" w:type="dxa"/>
          </w:tcPr>
          <w:p w:rsidR="00A131C8" w:rsidRPr="00EC2DC7" w:rsidRDefault="00A131C8" w:rsidP="00EC2DC7">
            <w:pPr>
              <w:spacing w:after="0" w:line="230" w:lineRule="auto"/>
              <w:ind w:left="-130" w:right="-113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+144,9</w:t>
            </w:r>
          </w:p>
        </w:tc>
        <w:tc>
          <w:tcPr>
            <w:tcW w:w="1701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Значення інд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катора збільш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 на 1,3%.</w:t>
            </w:r>
          </w:p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36 сільгосппід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риємств отрим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ли часткову компенсацію відсоткової ста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ки за ускладн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ним кредитними договорами. "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2212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Постанова Кабінету Міністрів України від 28.10. 2015 року № 884 "Про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твердже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 Поря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ку вик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ристання коштів, передб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чених у держа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ному 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ю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джеті для підтримки галузі тваринн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цтва" (зі змінами)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16217,1319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16217,319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16217,319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16217,319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A131C8" w:rsidRPr="00EC2DC7" w:rsidRDefault="00A131C8" w:rsidP="00EC2DC7">
            <w:pPr>
              <w:spacing w:after="0" w:line="230" w:lineRule="auto"/>
              <w:ind w:left="-130" w:right="-113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У 2017 році в рамках  прогр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ми частково відшкодовано вартість заку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лених для под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льшого відтв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рення тварин вітчизняного походження 2-м суб’єктам агр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промислового комплексу на суму 195,7 тис. грн. Крім того, було повністю виплачено кр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диторську забо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гованість мин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лих років за пр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грамою на суму понад 16 млн грн.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2212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Постанова Кабінету Міністрів України від 15.07. 2005   № 587 "Про затве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дження Порядку справля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 збору та вик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ристання коштів на розвиток виногр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дарства, садівни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тва і хм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лярства" (зі змін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ми)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20211,2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20211,2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20211,2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20211,2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A131C8" w:rsidRPr="00EC2DC7" w:rsidRDefault="00A131C8" w:rsidP="00EC2DC7">
            <w:pPr>
              <w:spacing w:after="0" w:line="230" w:lineRule="auto"/>
              <w:ind w:left="-130" w:right="-113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Відповідно до програми ко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пенсацію витрат у сумі понад 3 млн грн отрим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ли 3 суб’єкти господарювання. Виплачено кр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диторську забо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гованість мин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лих років  у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мірі 17,072 млн грн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843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Постанова Кабінету Міністрів України  від 13.02.2012 № 104 "Про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твердже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 Поря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ку вик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ристання коштів, передб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чених у держа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ному 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ю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джеті для фінанс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вої пі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тримки заходів в агропр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мислов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му ко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плексі"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847,714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847,714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847,714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A131C8" w:rsidRPr="00EC2DC7" w:rsidRDefault="00A131C8" w:rsidP="00EC2DC7">
            <w:pPr>
              <w:spacing w:after="0" w:line="230" w:lineRule="auto"/>
              <w:ind w:left="-130" w:right="-113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Частково пог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шено кредито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ську заборгов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ність за прогр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мою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276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Розвиток сільського зеленого туризму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2016-2017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План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ходів з реалізації у 2016-2017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ках стр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тегії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кої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ті на пер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од до 2020 року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Кількість садиб зел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 тури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му, од.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+5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43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-4</w:t>
            </w:r>
          </w:p>
        </w:tc>
        <w:tc>
          <w:tcPr>
            <w:tcW w:w="1701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Станом на           31 грудня 2017 року в області діє  57 садиб зеленого тури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му, в тому числі 1 садиба відкр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лась у звітному періоді (садиба зеленого тури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му «Зелений фазан» м. Кахо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ка)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2212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Розвиток логістичних центрів для потреб 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лих фе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мерських господарств та коопер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тивів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2016-2017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План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ходів з реалізації у 2016-2017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ках стр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тегії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кої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ті на пер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од до 2020 року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7700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7700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7700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Загальна ємність 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гістичних потужно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тей,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тис. тонн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1701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При підтримці Проекту ЄС/ПРООН «М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сцевий розвиток, орієнтований на громаду» на базі сільськогосп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дарських обсл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говуючих кооп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ративів створено два консульт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ційних центра з логістичного напрямку (СОК «Каїри» Горно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таївського рай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ну області та СОК «Перлина Григорівки» 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плинського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 xml:space="preserve">йону). </w:t>
            </w:r>
          </w:p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На території Г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ничеського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 xml:space="preserve">йону введено в експлуатацію овочесховище потужністю 3 тис. тон на базі фермерського господарства «Время».                                                                                                                                                  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1275"/>
        </w:trPr>
        <w:tc>
          <w:tcPr>
            <w:tcW w:w="851" w:type="dxa"/>
            <w:vMerge w:val="restart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Підвищення ефективн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сті та 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дійності функціон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вання зр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шувальних систем,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безпечення ефективн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го викори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тання зр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шуваних земель</w:t>
            </w:r>
          </w:p>
        </w:tc>
        <w:tc>
          <w:tcPr>
            <w:tcW w:w="1134" w:type="dxa"/>
            <w:vMerge w:val="restart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2016-2017 роки</w:t>
            </w:r>
          </w:p>
        </w:tc>
        <w:tc>
          <w:tcPr>
            <w:tcW w:w="1134" w:type="dxa"/>
            <w:vMerge w:val="restart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Програма економі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ного, 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ціального та культ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рного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кої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ті</w:t>
            </w:r>
          </w:p>
        </w:tc>
        <w:tc>
          <w:tcPr>
            <w:tcW w:w="1134" w:type="dxa"/>
            <w:vMerge w:val="restart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131C8" w:rsidRPr="00EC2DC7" w:rsidRDefault="00A131C8" w:rsidP="00EC2DC7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632960</w:t>
            </w:r>
          </w:p>
        </w:tc>
        <w:tc>
          <w:tcPr>
            <w:tcW w:w="851" w:type="dxa"/>
            <w:vMerge w:val="restart"/>
          </w:tcPr>
          <w:p w:rsidR="00A131C8" w:rsidRPr="00EC2DC7" w:rsidRDefault="00A131C8" w:rsidP="00EC2DC7">
            <w:pPr>
              <w:spacing w:after="0" w:line="230" w:lineRule="auto"/>
              <w:ind w:left="-57" w:right="-113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347521</w:t>
            </w:r>
          </w:p>
        </w:tc>
        <w:tc>
          <w:tcPr>
            <w:tcW w:w="992" w:type="dxa"/>
            <w:vMerge w:val="restart"/>
          </w:tcPr>
          <w:p w:rsidR="00A131C8" w:rsidRPr="00EC2DC7" w:rsidRDefault="00A131C8" w:rsidP="00EC2DC7">
            <w:pPr>
              <w:spacing w:after="0" w:line="230" w:lineRule="auto"/>
              <w:ind w:right="-57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632960</w:t>
            </w:r>
          </w:p>
        </w:tc>
        <w:tc>
          <w:tcPr>
            <w:tcW w:w="1134" w:type="dxa"/>
            <w:vMerge w:val="restart"/>
          </w:tcPr>
          <w:p w:rsidR="00A131C8" w:rsidRPr="00EC2DC7" w:rsidRDefault="00A131C8" w:rsidP="00EC2DC7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347521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Площа 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користання поливних земель,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 xml:space="preserve"> тис. га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300,44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A131C8" w:rsidRPr="00EC2DC7" w:rsidRDefault="00A131C8" w:rsidP="00EC2DC7">
            <w:pPr>
              <w:spacing w:after="0" w:line="230" w:lineRule="auto"/>
              <w:ind w:hanging="1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+0,44</w:t>
            </w:r>
          </w:p>
          <w:p w:rsidR="00A131C8" w:rsidRPr="00EC2DC7" w:rsidRDefault="00A131C8" w:rsidP="00EC2DC7">
            <w:pPr>
              <w:spacing w:after="0" w:line="230" w:lineRule="auto"/>
              <w:ind w:hanging="1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ind w:hanging="1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ind w:hanging="1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ind w:hanging="1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ind w:hanging="1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ind w:hanging="1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ind w:hanging="1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ind w:hanging="1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ind w:hanging="1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Сільгоспвиро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никами області вкладено 311473,7 тис грн. власних коштів  на придбання 123 од. дощув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льної техніки та 14515 тис грн на впровадження додаткового крапельного зрошення на площі 363,82 га</w:t>
            </w:r>
          </w:p>
        </w:tc>
        <w:tc>
          <w:tcPr>
            <w:tcW w:w="1289" w:type="dxa"/>
            <w:gridSpan w:val="2"/>
            <w:vMerge w:val="restart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8218"/>
        </w:trPr>
        <w:tc>
          <w:tcPr>
            <w:tcW w:w="851" w:type="dxa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Площа 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користаного крапельн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го зроше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ня, тис га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43,5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A131C8" w:rsidRPr="00EC2DC7" w:rsidRDefault="00A131C8" w:rsidP="00EC2DC7">
            <w:pPr>
              <w:spacing w:after="0" w:line="230" w:lineRule="auto"/>
              <w:ind w:hanging="1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9348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Сприяння створенню та розвитку сімейних фермерс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ких госп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дарств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2016-2017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План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ходів з реалізації у 2016-2017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ках стр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тегії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кої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ті на пер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од до 2020 року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3200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3200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3200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3200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Темп зб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льшення кількості сімейних фермерс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ких госп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дарств, %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У рамках прое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ту USAID/Партнерство заради інн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вацій «Розвиток сімейних ферм, об’єднаних в сільськогосп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дарські обслуг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вуючі коопер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тиви» створено 27 сімейних 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лочних ферм (Бериславський район –3, Вел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коолександрі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ський район – 1,  Великолепетис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кий район – 1, Голопристанс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кий район – 4,                                        Каховський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йон –  1, Ни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ж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 xml:space="preserve">ньосірогозький </w:t>
            </w:r>
          </w:p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район – 2,  Ск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 xml:space="preserve">довський район – 15,    </w:t>
            </w:r>
          </w:p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Зокрема:</w:t>
            </w:r>
          </w:p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 в селі Красне Скадовського району на базі сільськогосп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дарського ко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перативу «Л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ю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бава» відкрито сімейну молочну ферму, якій 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дано міні-танки для охолодження молока та суча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 xml:space="preserve">не обладнання </w:t>
            </w:r>
          </w:p>
          <w:p w:rsidR="00A131C8" w:rsidRPr="00EC2DC7" w:rsidRDefault="00A131C8" w:rsidP="00EC2DC7">
            <w:pPr>
              <w:spacing w:after="0" w:line="230" w:lineRule="auto"/>
              <w:rPr>
                <w:sz w:val="24"/>
                <w:szCs w:val="24"/>
                <w:highlight w:val="yellow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 в с. Олексіїка Голопристанс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кого району, відкрито іннов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ційну сімейну молочну ферму на 20 голів ВРХ, створену на базі господарства члена сільськ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господарського обслуговуючого кооперативу «Могучий», за співфінансува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 компанії «Д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нон». Дана 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мейна ферма є навчальним майданчиком для потенційних сімейних ферм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рів Херсонської та Миколаївської областей</w:t>
            </w:r>
            <w:r w:rsidRPr="00EC2DC7">
              <w:rPr>
                <w:sz w:val="24"/>
                <w:szCs w:val="24"/>
              </w:rPr>
              <w:t>.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418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17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2DC7">
              <w:rPr>
                <w:rFonts w:ascii="Times New Roman" w:hAnsi="Times New Roman"/>
                <w:b/>
                <w:sz w:val="20"/>
                <w:szCs w:val="20"/>
              </w:rPr>
              <w:t>2.4.5. Розвиток інтелектуального капіталу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2212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Створення Державного навчальн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го закладу «Херсонс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кий центр професійно-технічної освіти Де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жавної служби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йнятості»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2016-2017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План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ходів з реалізації у 2016-2017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ках стр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тегії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кої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ті на пер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од до 2020 року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9411,4  тис. грн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9411, 4  тис. грн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9411,4  тис. грн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9411,4  тис. грн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Кількість безробі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них, що отримали послуги з професі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й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 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вчання, осі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3650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6064</w:t>
            </w:r>
          </w:p>
        </w:tc>
        <w:tc>
          <w:tcPr>
            <w:tcW w:w="431" w:type="dxa"/>
          </w:tcPr>
          <w:p w:rsidR="00A131C8" w:rsidRPr="00EC2DC7" w:rsidRDefault="00A131C8" w:rsidP="00EC2DC7">
            <w:pPr>
              <w:spacing w:after="0" w:line="230" w:lineRule="auto"/>
              <w:ind w:left="-133" w:right="-194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+2414</w:t>
            </w:r>
          </w:p>
        </w:tc>
        <w:tc>
          <w:tcPr>
            <w:tcW w:w="1701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Виконано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270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17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2DC7">
              <w:rPr>
                <w:rFonts w:ascii="Times New Roman" w:hAnsi="Times New Roman"/>
                <w:b/>
                <w:sz w:val="20"/>
                <w:szCs w:val="20"/>
              </w:rPr>
              <w:t>2.4.6. Підвищення рівня інноваційної та інвестиційної спроможності регіонів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4020"/>
        </w:trPr>
        <w:tc>
          <w:tcPr>
            <w:tcW w:w="851" w:type="dxa"/>
            <w:vMerge w:val="restart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131C8" w:rsidRPr="00EC2DC7" w:rsidRDefault="00A131C8" w:rsidP="00EC2DC7">
            <w:pPr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Підготовка та  прос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вання інв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стиційних пропозицій</w:t>
            </w:r>
          </w:p>
        </w:tc>
        <w:tc>
          <w:tcPr>
            <w:tcW w:w="1134" w:type="dxa"/>
            <w:vMerge w:val="restart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2016-2017 роки</w:t>
            </w:r>
          </w:p>
        </w:tc>
        <w:tc>
          <w:tcPr>
            <w:tcW w:w="1134" w:type="dxa"/>
            <w:vMerge w:val="restart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Програма форм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вання 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зитивного іміджу та розвитку зовні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ш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ньоек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номічної діяльності 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кій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ті на 2016 – 2018 роки</w:t>
            </w:r>
          </w:p>
        </w:tc>
        <w:tc>
          <w:tcPr>
            <w:tcW w:w="1134" w:type="dxa"/>
            <w:vMerge w:val="restart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150,0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тис. грн</w:t>
            </w:r>
          </w:p>
        </w:tc>
        <w:tc>
          <w:tcPr>
            <w:tcW w:w="851" w:type="dxa"/>
            <w:vMerge w:val="restart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150,0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тис. грн</w:t>
            </w:r>
          </w:p>
        </w:tc>
        <w:tc>
          <w:tcPr>
            <w:tcW w:w="992" w:type="dxa"/>
            <w:vMerge w:val="restart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23,0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тис. грн</w:t>
            </w:r>
          </w:p>
        </w:tc>
        <w:tc>
          <w:tcPr>
            <w:tcW w:w="1134" w:type="dxa"/>
            <w:vMerge w:val="restart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23,0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тис. грн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Кількість інвестиці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й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 проп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зицій, од.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31" w:type="dxa"/>
          </w:tcPr>
          <w:p w:rsidR="00A131C8" w:rsidRPr="00EC2DC7" w:rsidRDefault="00A131C8" w:rsidP="00EC2DC7">
            <w:pPr>
              <w:spacing w:after="0" w:line="230" w:lineRule="auto"/>
              <w:ind w:left="-133" w:right="-1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+3</w:t>
            </w:r>
          </w:p>
        </w:tc>
        <w:tc>
          <w:tcPr>
            <w:tcW w:w="1701" w:type="dxa"/>
            <w:gridSpan w:val="3"/>
            <w:vMerge w:val="restart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Забезпечено пі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готовку близько 50 інвестиційних пропозицій за пріоритетними напрямами ек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номічного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області, які були презе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товані у другому півріччі 2017 року в колі укр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їнських і заруб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жних потенці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й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 інвесторів та бізнес-партнерів.</w:t>
            </w:r>
          </w:p>
        </w:tc>
        <w:tc>
          <w:tcPr>
            <w:tcW w:w="1289" w:type="dxa"/>
            <w:gridSpan w:val="2"/>
            <w:vMerge w:val="restart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5381"/>
        </w:trPr>
        <w:tc>
          <w:tcPr>
            <w:tcW w:w="851" w:type="dxa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Обсяг кап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тальних інвестицій у розрахунку на одну особу нас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лення обл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сті, грн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4350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3 495,7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(за 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чень вересень 2017 року)</w:t>
            </w:r>
          </w:p>
        </w:tc>
        <w:tc>
          <w:tcPr>
            <w:tcW w:w="431" w:type="dxa"/>
          </w:tcPr>
          <w:p w:rsidR="00A131C8" w:rsidRPr="00EC2DC7" w:rsidRDefault="00A131C8" w:rsidP="00EC2DC7">
            <w:pPr>
              <w:spacing w:after="0" w:line="230" w:lineRule="auto"/>
              <w:ind w:left="-133" w:right="-1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9206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Організація та пров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дення щор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чного Мі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ж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народного інвестиці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й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 фор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му «Таврі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й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ські гориз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 xml:space="preserve">нти: </w:t>
            </w:r>
          </w:p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привабл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вість, спі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праця, інв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стиції, ек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номічний розвиток»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2016-2017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Програма форм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вання 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зитивного іміджу та розвитку зовнішньо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економі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ної діял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ності 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кій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ті на 2016 – 2018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797,8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тис. грн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797,8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тис. грн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Обсяг пр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я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мих інозе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 інве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тицій у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рахунку на одиницю населення,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дол. США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202,0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(на 01 жовтня 2017 року)</w:t>
            </w:r>
          </w:p>
        </w:tc>
        <w:tc>
          <w:tcPr>
            <w:tcW w:w="431" w:type="dxa"/>
          </w:tcPr>
          <w:p w:rsidR="00A131C8" w:rsidRPr="00EC2DC7" w:rsidRDefault="00A131C8" w:rsidP="00EC2DC7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Забезпечено 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ганізацію та проведення X щорічного Мі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ж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народного інве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тиційного фор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му «Таврійські горизонти: спі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праця, інвест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ції, економічний</w:t>
            </w:r>
            <w:r w:rsidRPr="00EC2D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розвиток», пр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свяченого презен</w:t>
            </w:r>
          </w:p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тації інвестиці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й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ного, економі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ного, аграрного і культурно-туристичного потенціалу Херсонщини разом з її ключ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вими  «зеленими  проектами»,  який відбувся 29 - 30 вересня 2017 року в м. Нова Каховка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2212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Створення умов для реалізації інвестиці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й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но-інноваці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й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 прое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тів з нада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ням пріор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тету мал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відходним та ресурс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зберіга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ю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чим техн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логіям, як таким, що є найбільш конкуре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тоспромо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ж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ними на світовому рівні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2016-2017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Програма економі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ного, 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ціального та культ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рного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кої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ті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sz w:val="24"/>
                <w:szCs w:val="24"/>
              </w:rPr>
            </w:pPr>
            <w:r w:rsidRPr="00EC2D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sz w:val="24"/>
                <w:szCs w:val="24"/>
              </w:rPr>
            </w:pPr>
            <w:r w:rsidRPr="00EC2DC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sz w:val="24"/>
                <w:szCs w:val="24"/>
              </w:rPr>
            </w:pPr>
            <w:r w:rsidRPr="00EC2DC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sz w:val="24"/>
                <w:szCs w:val="24"/>
              </w:rPr>
            </w:pPr>
            <w:r w:rsidRPr="00EC2DC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Кількість реалізов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 прое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тів, од.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3"/>
          </w:tcPr>
          <w:p w:rsidR="00A131C8" w:rsidRPr="00EC2DC7" w:rsidRDefault="00A131C8" w:rsidP="00EC2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Створено нео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хідні умови для забезпечення остаточної реал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зації на території області 6 поту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ж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 інвестиці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й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но-інноваційних проектів, які забезпечують стратегічний вплив на соці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льно-економічний розвиток регі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ну, загальною кошторисною вартістю близько 79,0 млн грн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353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17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2DC7">
              <w:rPr>
                <w:rFonts w:ascii="Times New Roman" w:hAnsi="Times New Roman"/>
                <w:b/>
                <w:sz w:val="20"/>
                <w:szCs w:val="20"/>
              </w:rPr>
              <w:t>2.4.7.  Розвиток підприємницького середовища та конкуренції на регіональних товарних ринках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2212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Створення умов для підтримки малих фе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мерських підпр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ємств та просування продукції на міжн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родні ринки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2DC7">
              <w:rPr>
                <w:rFonts w:ascii="Times New Roman" w:hAnsi="Times New Roman"/>
                <w:sz w:val="24"/>
                <w:szCs w:val="24"/>
              </w:rPr>
              <w:t>2016-2017 р</w:t>
            </w:r>
            <w:r w:rsidRPr="00EC2DC7">
              <w:rPr>
                <w:rFonts w:ascii="Times New Roman" w:hAnsi="Times New Roman"/>
                <w:sz w:val="24"/>
                <w:szCs w:val="24"/>
              </w:rPr>
              <w:t>о</w:t>
            </w:r>
            <w:r w:rsidRPr="00EC2DC7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План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ходів з реалізації у 2016-2017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ках стр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тегії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кої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ті на пер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од до 2020 року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8372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8372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8372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8372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Кількість обслугов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ючих  сіл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ськогосп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дарських  кооперат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вів, од.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Збіл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шення на 5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Збіл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шення на 7</w:t>
            </w:r>
          </w:p>
        </w:tc>
        <w:tc>
          <w:tcPr>
            <w:tcW w:w="43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+2</w:t>
            </w:r>
          </w:p>
        </w:tc>
        <w:tc>
          <w:tcPr>
            <w:tcW w:w="1701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Станом на 31 грудня 2017 року в області зареє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тровано 57 сіл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ськогосподарс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ких обслугову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ю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чих кооперат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вів.</w:t>
            </w:r>
          </w:p>
          <w:p w:rsidR="00A131C8" w:rsidRPr="00EC2DC7" w:rsidRDefault="00A131C8" w:rsidP="00EC2DC7">
            <w:pPr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Протягом 2017 року в області створено 2 сіл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ськогосподарські обслуговуючі кооперативи в Нижньосірогоз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кому районі та м.Херсон.</w:t>
            </w:r>
          </w:p>
          <w:p w:rsidR="00A131C8" w:rsidRPr="00EC2DC7" w:rsidRDefault="00A131C8" w:rsidP="00EC2DC7">
            <w:pPr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Крім того,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будовуються  4 сільськогосп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дарські обслуг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вуючі коопер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тиви в Горност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ївському, Ча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линському та Скадовському районах області.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2212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Реформ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вання си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теми 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дання адм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ністрати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 послуг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 xml:space="preserve">2016-2017 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 xml:space="preserve"> рік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Розпор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я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дження голови обласної державної адмініс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рації від 17 серпня 2015 року № 483 «Про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пров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дження Регіон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льного веб-порталу адмініс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ративних послуг 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кої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ті»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Рішення обласної ради від 31 березня 2016 року № 79 «Про вн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сення змін до ріше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 ІІІ сесії обласної ради VII скликання від 22 сі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 2016 року № 58 «Про 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ласний бюджет на 2016 рік».</w:t>
            </w: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ind w:left="-122" w:right="-92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2652,176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ind w:left="-122" w:right="-92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1343,856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ind w:left="-122" w:right="-92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2395,939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ind w:left="-122" w:right="-92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1087,619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pStyle w:val="a1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C2DC7">
              <w:rPr>
                <w:rFonts w:ascii="Times New Roman" w:hAnsi="Times New Roman"/>
                <w:sz w:val="20"/>
              </w:rPr>
              <w:t>Кількість адміністр</w:t>
            </w:r>
            <w:r w:rsidRPr="00EC2DC7">
              <w:rPr>
                <w:rFonts w:ascii="Times New Roman" w:hAnsi="Times New Roman"/>
                <w:sz w:val="20"/>
              </w:rPr>
              <w:t>а</w:t>
            </w:r>
            <w:r w:rsidRPr="00EC2DC7">
              <w:rPr>
                <w:rFonts w:ascii="Times New Roman" w:hAnsi="Times New Roman"/>
                <w:sz w:val="20"/>
              </w:rPr>
              <w:t>тивних п</w:t>
            </w:r>
            <w:r w:rsidRPr="00EC2DC7">
              <w:rPr>
                <w:rFonts w:ascii="Times New Roman" w:hAnsi="Times New Roman"/>
                <w:sz w:val="20"/>
              </w:rPr>
              <w:t>о</w:t>
            </w:r>
            <w:r w:rsidRPr="00EC2DC7">
              <w:rPr>
                <w:rFonts w:ascii="Times New Roman" w:hAnsi="Times New Roman"/>
                <w:sz w:val="20"/>
              </w:rPr>
              <w:t>слуг, що надаються в режимі ел</w:t>
            </w:r>
            <w:r w:rsidRPr="00EC2DC7">
              <w:rPr>
                <w:rFonts w:ascii="Times New Roman" w:hAnsi="Times New Roman"/>
                <w:sz w:val="20"/>
              </w:rPr>
              <w:t>е</w:t>
            </w:r>
            <w:r w:rsidRPr="00EC2DC7">
              <w:rPr>
                <w:rFonts w:ascii="Times New Roman" w:hAnsi="Times New Roman"/>
                <w:sz w:val="20"/>
              </w:rPr>
              <w:t>ктронного доступу відповідно до І і ІІ ст</w:t>
            </w:r>
            <w:r w:rsidRPr="00EC2DC7">
              <w:rPr>
                <w:rFonts w:ascii="Times New Roman" w:hAnsi="Times New Roman"/>
                <w:sz w:val="20"/>
              </w:rPr>
              <w:t>а</w:t>
            </w:r>
            <w:r w:rsidRPr="00EC2DC7">
              <w:rPr>
                <w:rFonts w:ascii="Times New Roman" w:hAnsi="Times New Roman"/>
                <w:sz w:val="20"/>
              </w:rPr>
              <w:t>дії розви</w:t>
            </w:r>
            <w:r w:rsidRPr="00EC2DC7">
              <w:rPr>
                <w:rFonts w:ascii="Times New Roman" w:hAnsi="Times New Roman"/>
                <w:sz w:val="20"/>
              </w:rPr>
              <w:t>т</w:t>
            </w:r>
            <w:r w:rsidRPr="00EC2DC7">
              <w:rPr>
                <w:rFonts w:ascii="Times New Roman" w:hAnsi="Times New Roman"/>
                <w:sz w:val="20"/>
              </w:rPr>
              <w:t xml:space="preserve">ку, 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% до їх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гальної 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лькості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3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A131C8" w:rsidRPr="00EC2DC7" w:rsidRDefault="00A131C8" w:rsidP="00EC2DC7">
            <w:pPr>
              <w:pStyle w:val="a1"/>
              <w:spacing w:before="0"/>
              <w:ind w:left="-84" w:right="-151" w:firstLine="0"/>
              <w:rPr>
                <w:rFonts w:ascii="Times New Roman" w:hAnsi="Times New Roman"/>
                <w:sz w:val="20"/>
              </w:rPr>
            </w:pPr>
            <w:r w:rsidRPr="00EC2DC7">
              <w:rPr>
                <w:rFonts w:ascii="Times New Roman" w:hAnsi="Times New Roman"/>
                <w:sz w:val="20"/>
              </w:rPr>
              <w:t xml:space="preserve">Здійснені заходи </w:t>
            </w:r>
          </w:p>
          <w:p w:rsidR="00A131C8" w:rsidRPr="00EC2DC7" w:rsidRDefault="00A131C8" w:rsidP="00EC2DC7">
            <w:pPr>
              <w:pStyle w:val="a1"/>
              <w:spacing w:before="0"/>
              <w:ind w:left="-84" w:right="-151" w:firstLine="0"/>
              <w:rPr>
                <w:rFonts w:ascii="Times New Roman" w:hAnsi="Times New Roman"/>
                <w:sz w:val="20"/>
              </w:rPr>
            </w:pPr>
            <w:r w:rsidRPr="00EC2DC7">
              <w:rPr>
                <w:rFonts w:ascii="Times New Roman" w:hAnsi="Times New Roman"/>
                <w:sz w:val="20"/>
              </w:rPr>
              <w:t>І,  ІІ та ІІІ черги створення Єдиного інформаційного простору Херсо</w:t>
            </w:r>
            <w:r w:rsidRPr="00EC2DC7">
              <w:rPr>
                <w:rFonts w:ascii="Times New Roman" w:hAnsi="Times New Roman"/>
                <w:sz w:val="20"/>
              </w:rPr>
              <w:t>н</w:t>
            </w:r>
            <w:r w:rsidRPr="00EC2DC7">
              <w:rPr>
                <w:rFonts w:ascii="Times New Roman" w:hAnsi="Times New Roman"/>
                <w:sz w:val="20"/>
              </w:rPr>
              <w:t>ської області.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335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17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2DC7">
              <w:rPr>
                <w:rFonts w:ascii="Times New Roman" w:hAnsi="Times New Roman"/>
                <w:b/>
                <w:sz w:val="20"/>
                <w:szCs w:val="20"/>
              </w:rPr>
              <w:t>2.4.8.  Раціональне використання природно-ресурсного потенціалу, збереження культурної спадщини та найцінніших природних територій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2212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Створення археологі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 зап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відника «Амадока» у            с. Червоний Маяк Бер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славського району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2016-2017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План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ходів з реалізації у 2016 - 2017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ках стр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тегії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кої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ті  на 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ріод до 2020 року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ind w:hanging="122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ind w:hanging="122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3900,0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ind w:hanging="122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Створення умов для відвідува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 запові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 xml:space="preserve">ника, 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Кількість туристів на рік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10 000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туристів на рік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Подальше досл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 xml:space="preserve">дження п’ятки археології </w:t>
            </w:r>
          </w:p>
          <w:p w:rsidR="00A131C8" w:rsidRPr="00EC2DC7" w:rsidRDefault="00A131C8" w:rsidP="00EC2DC7">
            <w:pPr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Пізненьскою археологічною експедицією інститут архе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логії НАНУ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Встано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лення ст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туту зем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льних діл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я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нок та пер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дача їх у постійне корист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 xml:space="preserve">вання управління культури ОДА </w:t>
            </w:r>
          </w:p>
        </w:tc>
      </w:tr>
      <w:tr w:rsidR="00A131C8" w:rsidTr="00EC2DC7">
        <w:trPr>
          <w:trHeight w:val="2212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Проведення реконстр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кції буд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вель музе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й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 ко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плексу «Херсонс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кий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ний кра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є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знавчий  музей»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2017 рік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План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ходів з реалізації у 2016 - 2017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ках стр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тегії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кої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ті  на 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ріод до 2020 року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ind w:hanging="122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ind w:hanging="122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ind w:hanging="122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 xml:space="preserve">Чисельність відвідувачів музейного комплексу, осіб 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За кошти загал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 асигнува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ня, виділених на утримання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кладу, виконано роботи по час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ковому ремонту системи опале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 в літерату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ному відділі 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зею та у фондо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ховищах гол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 xml:space="preserve">вного корпусу музею 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2604"/>
        </w:trPr>
        <w:tc>
          <w:tcPr>
            <w:tcW w:w="851" w:type="dxa"/>
            <w:vMerge w:val="restart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Формува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 еколог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чної мережі на території області. Інвентар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зація тер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торій та об’єктів природно-заповідного фонду 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ласті</w:t>
            </w:r>
          </w:p>
        </w:tc>
        <w:tc>
          <w:tcPr>
            <w:tcW w:w="1134" w:type="dxa"/>
            <w:vMerge w:val="restart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2016-2017 роки</w:t>
            </w:r>
          </w:p>
        </w:tc>
        <w:tc>
          <w:tcPr>
            <w:tcW w:w="1134" w:type="dxa"/>
            <w:vMerge w:val="restart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План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ходів з реалізації у 2016-2017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ках стр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тегії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кої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ті на пер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од до 2020 року</w:t>
            </w:r>
          </w:p>
        </w:tc>
        <w:tc>
          <w:tcPr>
            <w:tcW w:w="1134" w:type="dxa"/>
            <w:vMerge w:val="restart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131C8" w:rsidRPr="00EC2DC7" w:rsidRDefault="00A131C8" w:rsidP="00EC2DC7">
            <w:pPr>
              <w:spacing w:after="0" w:line="230" w:lineRule="auto"/>
              <w:ind w:hanging="122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90000</w:t>
            </w:r>
          </w:p>
        </w:tc>
        <w:tc>
          <w:tcPr>
            <w:tcW w:w="851" w:type="dxa"/>
            <w:vMerge w:val="restart"/>
          </w:tcPr>
          <w:p w:rsidR="00A131C8" w:rsidRPr="00EC2DC7" w:rsidRDefault="00A131C8" w:rsidP="00EC2DC7">
            <w:pPr>
              <w:spacing w:after="0" w:line="230" w:lineRule="auto"/>
              <w:ind w:hanging="122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90000</w:t>
            </w:r>
          </w:p>
        </w:tc>
        <w:tc>
          <w:tcPr>
            <w:tcW w:w="992" w:type="dxa"/>
            <w:vMerge w:val="restart"/>
          </w:tcPr>
          <w:p w:rsidR="00A131C8" w:rsidRPr="00EC2DC7" w:rsidRDefault="00A131C8" w:rsidP="00EC2DC7">
            <w:pPr>
              <w:spacing w:after="0" w:line="230" w:lineRule="auto"/>
              <w:ind w:hanging="122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90000</w:t>
            </w:r>
          </w:p>
        </w:tc>
        <w:tc>
          <w:tcPr>
            <w:tcW w:w="1134" w:type="dxa"/>
            <w:vMerge w:val="restart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90000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Кількість об’єктів      екомережі, од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82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83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1701" w:type="dxa"/>
            <w:gridSpan w:val="3"/>
            <w:vMerge w:val="restart"/>
          </w:tcPr>
          <w:p w:rsidR="00A131C8" w:rsidRPr="00EC2DC7" w:rsidRDefault="00A131C8" w:rsidP="00EC2DC7">
            <w:pPr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Природну тер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торії площею 120 гектарів в місті Гола Пр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стань оголошено гідрологічним заказником заг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 xml:space="preserve">льнодержавного значення «Озеро Соляне». </w:t>
            </w:r>
          </w:p>
          <w:p w:rsidR="00A131C8" w:rsidRPr="00EC2DC7" w:rsidRDefault="00A131C8" w:rsidP="00EC2DC7">
            <w:pPr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Херсонським державним ун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верситетом 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деться розробка наукового 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ґрунтування створення РЛП «Гілея»</w:t>
            </w:r>
          </w:p>
        </w:tc>
        <w:tc>
          <w:tcPr>
            <w:tcW w:w="1289" w:type="dxa"/>
            <w:gridSpan w:val="2"/>
            <w:vMerge w:val="restart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1275"/>
        </w:trPr>
        <w:tc>
          <w:tcPr>
            <w:tcW w:w="851" w:type="dxa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Площа об’єктів екомережі,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тис. га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355,7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302,7</w:t>
            </w:r>
          </w:p>
        </w:tc>
        <w:tc>
          <w:tcPr>
            <w:tcW w:w="43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-53</w:t>
            </w:r>
          </w:p>
        </w:tc>
        <w:tc>
          <w:tcPr>
            <w:tcW w:w="1701" w:type="dxa"/>
            <w:gridSpan w:val="3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843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Створення націонал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 прир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дного парку «Кам’ян-ська  Січ»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2016-2017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План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ходів з реалізації у 2016-2017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ках стр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тегії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кої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ті на пер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од до 2020 року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Площа пр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родного заповідного фонду,             тис. га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303,7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290,6</w:t>
            </w:r>
          </w:p>
        </w:tc>
        <w:tc>
          <w:tcPr>
            <w:tcW w:w="431" w:type="dxa"/>
          </w:tcPr>
          <w:p w:rsidR="00A131C8" w:rsidRPr="00EC2DC7" w:rsidRDefault="00A131C8" w:rsidP="00EC2DC7">
            <w:pPr>
              <w:spacing w:after="0" w:line="230" w:lineRule="auto"/>
              <w:ind w:left="-1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-13,1</w:t>
            </w:r>
          </w:p>
        </w:tc>
        <w:tc>
          <w:tcPr>
            <w:tcW w:w="1701" w:type="dxa"/>
            <w:gridSpan w:val="3"/>
          </w:tcPr>
          <w:p w:rsidR="00A131C8" w:rsidRPr="00EC2DC7" w:rsidRDefault="00A131C8" w:rsidP="00EC2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Видано розпор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я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дження голови обласної держ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вної адміністр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ції від 06 лютого 2017 року № 51 «Про створення національного природного па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ку «Кам’янська Січ», яким ств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рено робочу групу та затве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джено план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ходів. Проведено роз’яснювальну роботу серед населення, що проживає на природних тер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торіях, на яких передбачено створення Па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ку, про необхі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ність його ств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рення, особлив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сті його функц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онування та 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меження трад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ційного прир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докористування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276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17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2DC7">
              <w:rPr>
                <w:rFonts w:ascii="Times New Roman" w:hAnsi="Times New Roman"/>
                <w:b/>
                <w:sz w:val="20"/>
                <w:szCs w:val="20"/>
              </w:rPr>
              <w:t>2.4.9. Розвиток транскордонного співробітництва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1835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Організація, проведення та участь у роботі нац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ональних і міжнаро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 публі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 заходів у сфері  транско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донного співробі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ництва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2016-2017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Програма економі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ного, 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ціального та культ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рного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кої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ті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Кількість країн - па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 xml:space="preserve">тнерів із 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зовнішнь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економічної діяльності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43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1701" w:type="dxa"/>
            <w:gridSpan w:val="3"/>
          </w:tcPr>
          <w:p w:rsidR="00A131C8" w:rsidRPr="00EC2DC7" w:rsidRDefault="00A131C8" w:rsidP="00EC2DC7">
            <w:pPr>
              <w:spacing w:after="0" w:line="240" w:lineRule="auto"/>
              <w:jc w:val="both"/>
              <w:rPr>
                <w:rStyle w:val="PageNumber"/>
                <w:rFonts w:ascii="Times New Roman" w:hAnsi="Times New Roman"/>
                <w:sz w:val="20"/>
                <w:szCs w:val="20"/>
                <w:lang w:val="ru-RU"/>
              </w:rPr>
            </w:pP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У 2017 року ві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булись зустрічі 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керівництва 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 xml:space="preserve">ласної державної адміністрації з 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заступником Надзвичайного та Повноважного Посла Румунії в Україні та ра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ником з екон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мічних питань Генерального консульства Р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мунії в Одесі</w:t>
            </w:r>
            <w:r w:rsidRPr="00EC2DC7">
              <w:rPr>
                <w:rStyle w:val="PageNumber"/>
                <w:rFonts w:ascii="Times New Roman" w:hAnsi="Times New Roman"/>
                <w:sz w:val="20"/>
                <w:szCs w:val="20"/>
              </w:rPr>
              <w:t>».</w:t>
            </w:r>
            <w:r w:rsidRPr="00EC2DC7">
              <w:rPr>
                <w:rStyle w:val="PageNumber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131C8" w:rsidRPr="00EC2DC7" w:rsidRDefault="00A131C8" w:rsidP="00EC2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Style w:val="PageNumber"/>
                <w:rFonts w:ascii="Times New Roman" w:hAnsi="Times New Roman"/>
                <w:sz w:val="20"/>
                <w:szCs w:val="20"/>
              </w:rPr>
              <w:t>З метою актив</w:t>
            </w:r>
            <w:r w:rsidRPr="00EC2DC7">
              <w:rPr>
                <w:rStyle w:val="PageNumber"/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Style w:val="PageNumber"/>
                <w:rFonts w:ascii="Times New Roman" w:hAnsi="Times New Roman"/>
                <w:sz w:val="20"/>
                <w:szCs w:val="20"/>
              </w:rPr>
              <w:t>зації транско</w:t>
            </w:r>
            <w:r w:rsidRPr="00EC2DC7">
              <w:rPr>
                <w:rStyle w:val="PageNumber"/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Style w:val="PageNumber"/>
                <w:rFonts w:ascii="Times New Roman" w:hAnsi="Times New Roman"/>
                <w:sz w:val="20"/>
                <w:szCs w:val="20"/>
              </w:rPr>
              <w:t>донного співр</w:t>
            </w:r>
            <w:r w:rsidRPr="00EC2DC7">
              <w:rPr>
                <w:rStyle w:val="PageNumber"/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Style w:val="PageNumber"/>
                <w:rFonts w:ascii="Times New Roman" w:hAnsi="Times New Roman"/>
                <w:sz w:val="20"/>
                <w:szCs w:val="20"/>
              </w:rPr>
              <w:t xml:space="preserve">бітництва, у 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2017 року дел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гація 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кої області на чолі з головою обласної держ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вної адміністр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ції Гордєєвим А.А. у рамках робочої поїздки перебувала на Гомельщині (Р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спубліка Біл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русь).</w:t>
            </w:r>
          </w:p>
          <w:p w:rsidR="00A131C8" w:rsidRPr="00EC2DC7" w:rsidRDefault="00A131C8" w:rsidP="00EC2DC7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2DC7">
              <w:rPr>
                <w:rFonts w:ascii="Times New Roman" w:hAnsi="Times New Roman"/>
                <w:sz w:val="20"/>
                <w:szCs w:val="28"/>
              </w:rPr>
              <w:t>Також, у  відб</w:t>
            </w:r>
            <w:r w:rsidRPr="00EC2DC7">
              <w:rPr>
                <w:rFonts w:ascii="Times New Roman" w:hAnsi="Times New Roman"/>
                <w:sz w:val="20"/>
                <w:szCs w:val="28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8"/>
              </w:rPr>
              <w:t>лась зустріч к</w:t>
            </w:r>
            <w:r w:rsidRPr="00EC2DC7">
              <w:rPr>
                <w:rFonts w:ascii="Times New Roman" w:hAnsi="Times New Roman"/>
                <w:sz w:val="20"/>
                <w:szCs w:val="28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8"/>
              </w:rPr>
              <w:t>рівництва обла</w:t>
            </w:r>
            <w:r w:rsidRPr="00EC2DC7">
              <w:rPr>
                <w:rFonts w:ascii="Times New Roman" w:hAnsi="Times New Roman"/>
                <w:sz w:val="20"/>
                <w:szCs w:val="28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8"/>
              </w:rPr>
              <w:t>ної державної адміністрації з консулом-керівником Ко</w:t>
            </w:r>
            <w:r w:rsidRPr="00EC2DC7">
              <w:rPr>
                <w:rFonts w:ascii="Times New Roman" w:hAnsi="Times New Roman"/>
                <w:sz w:val="20"/>
                <w:szCs w:val="28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8"/>
              </w:rPr>
              <w:t xml:space="preserve">сульства Грузії в Одесі 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336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17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2DC7">
              <w:rPr>
                <w:rFonts w:ascii="Times New Roman" w:hAnsi="Times New Roman"/>
                <w:b/>
                <w:sz w:val="20"/>
                <w:szCs w:val="20"/>
              </w:rPr>
              <w:t>2.4.10.  Диверсифікація джерел енергопостачання та підвищення рівня енергоефективності в регіонах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2212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Створення системи управління енергети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ними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сурсами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2016-2017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Рішення IV сесії обласної ради VІІ скликання від 31.03.2016 № 78 "Про план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ходів з реалізації у 2016 – 2017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ках Стр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тегії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кої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ті на пер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од до 2020 року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ind w:left="-122" w:right="-57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ind w:left="-124" w:right="-57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-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A131C8" w:rsidRPr="00EC2DC7" w:rsidRDefault="00A131C8" w:rsidP="00EC2DC7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Згідно «Енерг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плпну» прац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ю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ють 85 установ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2212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Реалізація проектів з енергозб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реження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2016-2017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План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ходів з реалізації у 2016-2017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ках стр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тегії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Хер-сон-ської 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ласті на період до 2020 року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55795,92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19994,98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11454,64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3180,14</w:t>
            </w:r>
          </w:p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Зменшення спожитого природного газу, %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color w:val="FF0000"/>
                <w:spacing w:val="-20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color w:val="FF0000"/>
                <w:spacing w:val="-20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color w:val="FF0000"/>
                <w:spacing w:val="-20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color w:val="FF0000"/>
                <w:spacing w:val="-20"/>
                <w:sz w:val="20"/>
                <w:szCs w:val="20"/>
                <w:highlight w:val="yellow"/>
              </w:rPr>
              <w:t>4,5</w:t>
            </w:r>
          </w:p>
        </w:tc>
        <w:tc>
          <w:tcPr>
            <w:tcW w:w="431" w:type="dxa"/>
          </w:tcPr>
          <w:p w:rsidR="00A131C8" w:rsidRPr="00EC2DC7" w:rsidRDefault="00A131C8" w:rsidP="00EC2DC7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color w:val="FF0000"/>
                <w:spacing w:val="-20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color w:val="FF0000"/>
                <w:spacing w:val="-20"/>
                <w:sz w:val="20"/>
                <w:szCs w:val="20"/>
                <w:highlight w:val="yellow"/>
              </w:rPr>
              <w:t>-15,5</w:t>
            </w:r>
          </w:p>
        </w:tc>
        <w:tc>
          <w:tcPr>
            <w:tcW w:w="1701" w:type="dxa"/>
            <w:gridSpan w:val="3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Протягом 2017 року виконано наступні роботи з:</w:t>
            </w:r>
          </w:p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 капітального ремонту покрівлі будинку фель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шерсько-акушерського пункту в с.Костянтинівка Горностаївськ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го району;</w:t>
            </w:r>
          </w:p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 капітального ремонту системи опалення дит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я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чого садка с.Червона Пол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я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на Горностаївс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кого району;</w:t>
            </w:r>
          </w:p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 реконструкції системи опале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 стаціонарного відділення КУ «Терацентр» у с.Каїри Горно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таївського рай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ну;</w:t>
            </w:r>
          </w:p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 капітального ремонту опале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 Будинку культури с. Велика Благ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віщенка Горно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таївського рай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ну;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 реконструкції котельні № 1 по вул. Леніна в м. Нова Каховка.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2212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Заміщення традиці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й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 джерел  енергоп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стачання альтернат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вними  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дами пал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2016-2017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Рішення IV сесії обласної ради VІІ скликання від 31.03.2016 № 78 "Про план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ходів з реалізації у 2016 – 2017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ках Стр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тегії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кої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ті на пер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од до 2020 року"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3940,9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2595,70</w:t>
            </w:r>
          </w:p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Частка 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марної 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тужності котелень на альтернат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вних видах палива, у відсотках до загальної потужності котелень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431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+8,8</w:t>
            </w:r>
          </w:p>
        </w:tc>
        <w:tc>
          <w:tcPr>
            <w:tcW w:w="1701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 xml:space="preserve">Проведено    модернізацію на </w:t>
            </w:r>
          </w:p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17 об’єктах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7281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Підтримка та стим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лювання реалізації населенням енергоефе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тивних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ходів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2016-2017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bCs/>
                <w:sz w:val="20"/>
                <w:szCs w:val="20"/>
              </w:rPr>
              <w:t>Рішення XXXVI сесії обла</w:t>
            </w:r>
            <w:r w:rsidRPr="00EC2DC7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bCs/>
                <w:sz w:val="20"/>
                <w:szCs w:val="20"/>
              </w:rPr>
              <w:t>ної ради VІ скл</w:t>
            </w:r>
            <w:r w:rsidRPr="00EC2DC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bCs/>
                <w:sz w:val="20"/>
                <w:szCs w:val="20"/>
              </w:rPr>
              <w:t>кання від 10.09.2015 №1296 "Про Стратегію розвитку Херсонс</w:t>
            </w:r>
            <w:r w:rsidRPr="00EC2DC7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bCs/>
                <w:sz w:val="20"/>
                <w:szCs w:val="20"/>
              </w:rPr>
              <w:t>кої обла</w:t>
            </w:r>
            <w:r w:rsidRPr="00EC2DC7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bCs/>
                <w:sz w:val="20"/>
                <w:szCs w:val="20"/>
              </w:rPr>
              <w:t>ті на пер</w:t>
            </w:r>
            <w:r w:rsidRPr="00EC2DC7">
              <w:rPr>
                <w:rFonts w:ascii="Times New Roman" w:hAnsi="Times New Roman"/>
                <w:bCs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bCs/>
                <w:sz w:val="20"/>
                <w:szCs w:val="20"/>
              </w:rPr>
              <w:t>од до 2020 року"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Рішення IV сесії обласної ради VІІ скликання від 31.03.2016 № 78 "Про план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ходів з реалізації у 2016 – 2017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ках Стр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тегії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кої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ті на пер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од до 2020 року"</w:t>
            </w: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93854,60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56464,7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Частка 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могосп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дарств, які уклали кр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дитні дог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вори в ра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ках механ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змів пі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тримки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ходів ене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гоефекти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ності в ж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тловому секторі у відсотках до загальної кількості домогосп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дарств рег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ону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1,183</w:t>
            </w:r>
          </w:p>
        </w:tc>
        <w:tc>
          <w:tcPr>
            <w:tcW w:w="431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+0,283</w:t>
            </w:r>
          </w:p>
        </w:tc>
        <w:tc>
          <w:tcPr>
            <w:tcW w:w="1701" w:type="dxa"/>
            <w:gridSpan w:val="3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336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17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2DC7">
              <w:rPr>
                <w:rFonts w:ascii="Times New Roman" w:hAnsi="Times New Roman"/>
                <w:b/>
                <w:sz w:val="20"/>
                <w:szCs w:val="20"/>
              </w:rPr>
              <w:t>2.4.11.  Узгодженість політики стимулювання розвитку «точок зростання» та підтримки економічно менш розвинутих та депресивних територій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9348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Створення та забезп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чення ді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я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льності Агенції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гіонального розвитку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2016-2017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План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ходів з реалізації у 2016-2017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ках стр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тегії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Хер-сон-ської 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ласті на період до 2020 року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Розпорядженням голови обласної державної адм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 xml:space="preserve">ністрації від 23 грудня 2016 року </w:t>
            </w:r>
          </w:p>
          <w:p w:rsidR="00A131C8" w:rsidRPr="00EC2DC7" w:rsidRDefault="00A131C8" w:rsidP="00EC2DC7">
            <w:pPr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№ 995 утворено робочу групу з питань створе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 Агенції регі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нального розв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тку Херсонської області.</w:t>
            </w:r>
          </w:p>
          <w:p w:rsidR="00A131C8" w:rsidRPr="00EC2DC7" w:rsidRDefault="00A131C8" w:rsidP="00EC2DC7">
            <w:pPr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 xml:space="preserve">Затверджено відповідний план заходів. </w:t>
            </w:r>
          </w:p>
          <w:p w:rsidR="00A131C8" w:rsidRPr="00EC2DC7" w:rsidRDefault="00A131C8" w:rsidP="00EC2DC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На офіційному сайті ОДА ств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рено рубрику – Агенція регіон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льного розвитку Херсонської 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ласті.</w:t>
            </w:r>
          </w:p>
          <w:p w:rsidR="00A131C8" w:rsidRPr="00EC2DC7" w:rsidRDefault="00A131C8" w:rsidP="00EC2D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03 березня 2017 року підписано чотиристоронній Меморандум про співпрацю між Херсонською обласною де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жавною адміні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трацією,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ною радою, гр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мадськими орг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нізаціями «Центр реформ та місцевого розвитку» і «Агенція регі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нального розв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тку Таврійського об’єднання тер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торіальних гр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мад».</w:t>
            </w:r>
          </w:p>
          <w:p w:rsidR="00A131C8" w:rsidRPr="00EC2DC7" w:rsidRDefault="00A131C8" w:rsidP="00EC2D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Видано розпор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я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дження голови обласної держ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вної адміністр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ції від 04 травня 2017 року № 310 «Про заснування Агенції регіон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льного розвитку Херсонської 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ласті».</w:t>
            </w:r>
          </w:p>
          <w:p w:rsidR="00A131C8" w:rsidRPr="00EC2DC7" w:rsidRDefault="00A131C8" w:rsidP="00EC2D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27 квітня 2017 року на засіданні робочої групи підписано дог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вір про співпр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 xml:space="preserve">цю між чотирма громадськими організаціями щодо заснування Агенції. </w:t>
            </w:r>
          </w:p>
          <w:p w:rsidR="00A131C8" w:rsidRPr="00EC2DC7" w:rsidRDefault="00A131C8" w:rsidP="00EC2DC7">
            <w:pPr>
              <w:pStyle w:val="BodyText"/>
              <w:spacing w:line="276" w:lineRule="auto"/>
              <w:rPr>
                <w:sz w:val="20"/>
                <w:szCs w:val="20"/>
              </w:rPr>
            </w:pPr>
            <w:r w:rsidRPr="00EC2DC7">
              <w:rPr>
                <w:sz w:val="20"/>
                <w:szCs w:val="20"/>
              </w:rPr>
              <w:t>23 травня 2017 року підписано договір про співпрацю у сфері регіонал</w:t>
            </w:r>
            <w:r w:rsidRPr="00EC2DC7">
              <w:rPr>
                <w:sz w:val="20"/>
                <w:szCs w:val="20"/>
              </w:rPr>
              <w:t>ь</w:t>
            </w:r>
            <w:r w:rsidRPr="00EC2DC7">
              <w:rPr>
                <w:sz w:val="20"/>
                <w:szCs w:val="20"/>
              </w:rPr>
              <w:t>ного розвитку між вищими н</w:t>
            </w:r>
            <w:r w:rsidRPr="00EC2DC7">
              <w:rPr>
                <w:sz w:val="20"/>
                <w:szCs w:val="20"/>
              </w:rPr>
              <w:t>а</w:t>
            </w:r>
            <w:r w:rsidRPr="00EC2DC7">
              <w:rPr>
                <w:sz w:val="20"/>
                <w:szCs w:val="20"/>
              </w:rPr>
              <w:t>вчальними з</w:t>
            </w:r>
            <w:r w:rsidRPr="00EC2DC7">
              <w:rPr>
                <w:sz w:val="20"/>
                <w:szCs w:val="20"/>
              </w:rPr>
              <w:t>а</w:t>
            </w:r>
            <w:r w:rsidRPr="00EC2DC7">
              <w:rPr>
                <w:sz w:val="20"/>
                <w:szCs w:val="20"/>
              </w:rPr>
              <w:t>кладами. та в</w:t>
            </w:r>
            <w:r w:rsidRPr="00EC2DC7">
              <w:rPr>
                <w:sz w:val="20"/>
                <w:szCs w:val="20"/>
              </w:rPr>
              <w:t>и</w:t>
            </w:r>
            <w:r w:rsidRPr="00EC2DC7">
              <w:rPr>
                <w:sz w:val="20"/>
                <w:szCs w:val="20"/>
              </w:rPr>
              <w:t>значено членів Наглядової ради.</w:t>
            </w:r>
          </w:p>
          <w:p w:rsidR="00A131C8" w:rsidRPr="00EC2DC7" w:rsidRDefault="00A131C8" w:rsidP="00EC2DC7">
            <w:pPr>
              <w:pStyle w:val="BodyText"/>
              <w:spacing w:line="276" w:lineRule="auto"/>
              <w:rPr>
                <w:sz w:val="20"/>
                <w:szCs w:val="20"/>
              </w:rPr>
            </w:pPr>
            <w:r w:rsidRPr="00EC2DC7">
              <w:rPr>
                <w:sz w:val="20"/>
                <w:szCs w:val="20"/>
              </w:rPr>
              <w:t>Спільно з гол</w:t>
            </w:r>
            <w:r w:rsidRPr="00EC2DC7">
              <w:rPr>
                <w:sz w:val="20"/>
                <w:szCs w:val="20"/>
              </w:rPr>
              <w:t>о</w:t>
            </w:r>
            <w:r w:rsidRPr="00EC2DC7">
              <w:rPr>
                <w:sz w:val="20"/>
                <w:szCs w:val="20"/>
              </w:rPr>
              <w:t>вним управлі</w:t>
            </w:r>
            <w:r w:rsidRPr="00EC2DC7">
              <w:rPr>
                <w:sz w:val="20"/>
                <w:szCs w:val="20"/>
              </w:rPr>
              <w:t>н</w:t>
            </w:r>
            <w:r w:rsidRPr="00EC2DC7">
              <w:rPr>
                <w:sz w:val="20"/>
                <w:szCs w:val="20"/>
              </w:rPr>
              <w:t>ням Державної фіскальної сл</w:t>
            </w:r>
            <w:r w:rsidRPr="00EC2DC7">
              <w:rPr>
                <w:sz w:val="20"/>
                <w:szCs w:val="20"/>
              </w:rPr>
              <w:t>у</w:t>
            </w:r>
            <w:r w:rsidRPr="00EC2DC7">
              <w:rPr>
                <w:sz w:val="20"/>
                <w:szCs w:val="20"/>
              </w:rPr>
              <w:t>жби в Херсонс</w:t>
            </w:r>
            <w:r w:rsidRPr="00EC2DC7">
              <w:rPr>
                <w:sz w:val="20"/>
                <w:szCs w:val="20"/>
              </w:rPr>
              <w:t>ь</w:t>
            </w:r>
            <w:r w:rsidRPr="00EC2DC7">
              <w:rPr>
                <w:sz w:val="20"/>
                <w:szCs w:val="20"/>
              </w:rPr>
              <w:t>кій області і р</w:t>
            </w:r>
            <w:r w:rsidRPr="00EC2DC7">
              <w:rPr>
                <w:sz w:val="20"/>
                <w:szCs w:val="20"/>
              </w:rPr>
              <w:t>е</w:t>
            </w:r>
            <w:r w:rsidRPr="00EC2DC7">
              <w:rPr>
                <w:sz w:val="20"/>
                <w:szCs w:val="20"/>
              </w:rPr>
              <w:t>єстраційною службою гол</w:t>
            </w:r>
            <w:r w:rsidRPr="00EC2DC7">
              <w:rPr>
                <w:sz w:val="20"/>
                <w:szCs w:val="20"/>
              </w:rPr>
              <w:t>о</w:t>
            </w:r>
            <w:r w:rsidRPr="00EC2DC7">
              <w:rPr>
                <w:sz w:val="20"/>
                <w:szCs w:val="20"/>
              </w:rPr>
              <w:t>вного територі</w:t>
            </w:r>
            <w:r w:rsidRPr="00EC2DC7">
              <w:rPr>
                <w:sz w:val="20"/>
                <w:szCs w:val="20"/>
              </w:rPr>
              <w:t>а</w:t>
            </w:r>
            <w:r w:rsidRPr="00EC2DC7">
              <w:rPr>
                <w:sz w:val="20"/>
                <w:szCs w:val="20"/>
              </w:rPr>
              <w:t>льного упра</w:t>
            </w:r>
            <w:r w:rsidRPr="00EC2DC7">
              <w:rPr>
                <w:sz w:val="20"/>
                <w:szCs w:val="20"/>
              </w:rPr>
              <w:t>в</w:t>
            </w:r>
            <w:r w:rsidRPr="00EC2DC7">
              <w:rPr>
                <w:sz w:val="20"/>
                <w:szCs w:val="20"/>
              </w:rPr>
              <w:t>ління юстиції в Херсонській о</w:t>
            </w:r>
            <w:r w:rsidRPr="00EC2DC7">
              <w:rPr>
                <w:sz w:val="20"/>
                <w:szCs w:val="20"/>
              </w:rPr>
              <w:t>б</w:t>
            </w:r>
            <w:r w:rsidRPr="00EC2DC7">
              <w:rPr>
                <w:sz w:val="20"/>
                <w:szCs w:val="20"/>
              </w:rPr>
              <w:t>ласті опрацьов</w:t>
            </w:r>
            <w:r w:rsidRPr="00EC2DC7">
              <w:rPr>
                <w:sz w:val="20"/>
                <w:szCs w:val="20"/>
              </w:rPr>
              <w:t>а</w:t>
            </w:r>
            <w:r w:rsidRPr="00EC2DC7">
              <w:rPr>
                <w:sz w:val="20"/>
                <w:szCs w:val="20"/>
              </w:rPr>
              <w:t>но Положення про установу «Агенція регі</w:t>
            </w:r>
            <w:r w:rsidRPr="00EC2DC7">
              <w:rPr>
                <w:sz w:val="20"/>
                <w:szCs w:val="20"/>
              </w:rPr>
              <w:t>о</w:t>
            </w:r>
            <w:r w:rsidRPr="00EC2DC7">
              <w:rPr>
                <w:sz w:val="20"/>
                <w:szCs w:val="20"/>
              </w:rPr>
              <w:t>нального розв</w:t>
            </w:r>
            <w:r w:rsidRPr="00EC2DC7">
              <w:rPr>
                <w:sz w:val="20"/>
                <w:szCs w:val="20"/>
              </w:rPr>
              <w:t>и</w:t>
            </w:r>
            <w:r w:rsidRPr="00EC2DC7">
              <w:rPr>
                <w:sz w:val="20"/>
                <w:szCs w:val="20"/>
              </w:rPr>
              <w:t>тку Херсонської області» для п</w:t>
            </w:r>
            <w:r w:rsidRPr="00EC2DC7">
              <w:rPr>
                <w:sz w:val="20"/>
                <w:szCs w:val="20"/>
              </w:rPr>
              <w:t>о</w:t>
            </w:r>
            <w:r w:rsidRPr="00EC2DC7">
              <w:rPr>
                <w:sz w:val="20"/>
                <w:szCs w:val="20"/>
              </w:rPr>
              <w:t>дальшого з</w:t>
            </w:r>
            <w:r w:rsidRPr="00EC2DC7">
              <w:rPr>
                <w:sz w:val="20"/>
                <w:szCs w:val="20"/>
              </w:rPr>
              <w:t>а</w:t>
            </w:r>
            <w:r w:rsidRPr="00EC2DC7">
              <w:rPr>
                <w:sz w:val="20"/>
                <w:szCs w:val="20"/>
              </w:rPr>
              <w:t>твердження на Установчих зб</w:t>
            </w:r>
            <w:r w:rsidRPr="00EC2DC7">
              <w:rPr>
                <w:sz w:val="20"/>
                <w:szCs w:val="20"/>
              </w:rPr>
              <w:t>о</w:t>
            </w:r>
            <w:r w:rsidRPr="00EC2DC7">
              <w:rPr>
                <w:sz w:val="20"/>
                <w:szCs w:val="20"/>
              </w:rPr>
              <w:t>рах засновників Агенції.</w:t>
            </w:r>
          </w:p>
          <w:p w:rsidR="00A131C8" w:rsidRPr="00EC2DC7" w:rsidRDefault="00A131C8" w:rsidP="00EC2DC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Остаточне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шення щодо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єстрації устан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 буде прийн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я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то лише після узгодження 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тання щодо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лучення бізнесу до заснування Агенції.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286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17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2DC7">
              <w:rPr>
                <w:rFonts w:ascii="Times New Roman" w:hAnsi="Times New Roman"/>
                <w:b/>
                <w:sz w:val="20"/>
                <w:szCs w:val="20"/>
              </w:rPr>
              <w:t>2.4.12.  Створення умов для продуктивної праці населення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9773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Сприяння самозайн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я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тості  бе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робітних шляхом професійно-консульт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ційної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боти, відп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відного 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вчання 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новам пі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приємниц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кої діяльн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сті та ст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мулювання до відкри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тя власного бізнесу, в тому числі у сільських населених пунктах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2016-2017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Програма економі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ного, 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ціального та культ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рного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кої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ті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Рівень бе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робіття 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селення області за методолог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єю Міжн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родної 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ганізації праці, %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1701" w:type="dxa"/>
            <w:gridSpan w:val="3"/>
          </w:tcPr>
          <w:p w:rsidR="00A131C8" w:rsidRPr="00EC2DC7" w:rsidRDefault="00A131C8" w:rsidP="00EC2DC7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Херсонська 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ласна служба зайнятості зал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чає безробітних до підприємн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цької діяльності, шляхом надання одноразової 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помоги по бе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робіттю для 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ганізації підпр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ємницької діял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 xml:space="preserve">ності.  </w:t>
            </w:r>
          </w:p>
          <w:p w:rsidR="00A131C8" w:rsidRPr="00EC2DC7" w:rsidRDefault="00A131C8" w:rsidP="00EC2DC7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При скеруванні на самозайн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я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тість Херсонська обласна служба зайнятості зве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тає увагу безр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бітних на ефе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тивні  форми ведення бізнесу: партнерське об’єднання ф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нансовими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сурсами, об’єднання в кооперативи, сімейний бізнес та інше.</w:t>
            </w:r>
          </w:p>
          <w:p w:rsidR="00A131C8" w:rsidRPr="00EC2DC7" w:rsidRDefault="00A131C8" w:rsidP="00EC2DC7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У системі зах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дів щодо спр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яння самостійної зайнятості пр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водяться семін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ри за тематикою: «Як розпочати свій бізнес», «Від бізнес-ідеї – до власної спр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ви», «Зелений туризм – вид самозайнятості». Упродовж  2017 року було пр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ведено 348 інф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рмаційних та профконсульт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ціних семінарів із самозайнято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ті, у яких прий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яло участь 3,7  тис.осіб. Крім того, проведено 77 семінарів із організації пі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приємництва у сфері  «зеленого туризму» за уч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стю 804 осіб.</w:t>
            </w:r>
          </w:p>
          <w:p w:rsidR="00A131C8" w:rsidRPr="00EC2DC7" w:rsidRDefault="00A131C8" w:rsidP="00EC2DC7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Протягом 2017 року курси пі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вищення квал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фікації проход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ли 48 безробі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 громадян. Протягом зві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 року 58 безробітних од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ржали однораз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ву виплату 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помоги по бе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робіттю для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 xml:space="preserve">початкування власного бізнесу. 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Станом на 01.01.2018 р. 130 осіб пройшли навчання за 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лайн-курсами «Prometheus» та отримали відп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відні сертифік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ти.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Одноразова виплата допомоги по безробі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тю для 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ганізації безробітн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ми підпр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ємницької діяльності здійснюєт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ся в межах коштів, 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редбачених для цього бюджетом Фонду заг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льно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бов’язкового державн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го соціал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 стр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хування на випадок безробіття. Наразі 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межена 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лькість 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штів  не дає змоги зал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чати більшу кількість безробітних для зайня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тя підпр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ємницькою діяльністю</w:t>
            </w:r>
          </w:p>
        </w:tc>
      </w:tr>
      <w:tr w:rsidR="00A131C8" w:rsidTr="00EC2DC7">
        <w:trPr>
          <w:trHeight w:val="10056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Посилення мотивації щодо дет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нізації тр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дових ві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носин та доходів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2016-2017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Програма економі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ного, 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ціального та культ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рного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Хер-сонської області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3"/>
          </w:tcPr>
          <w:p w:rsidR="00A131C8" w:rsidRPr="00EC2DC7" w:rsidRDefault="00A131C8" w:rsidP="00EC2DC7">
            <w:pPr>
              <w:pStyle w:val="BodyTextIndent3"/>
              <w:ind w:left="0" w:firstLine="0"/>
              <w:jc w:val="both"/>
              <w:rPr>
                <w:sz w:val="20"/>
              </w:rPr>
            </w:pPr>
            <w:r w:rsidRPr="00EC2DC7">
              <w:rPr>
                <w:sz w:val="20"/>
              </w:rPr>
              <w:t>У містах та р</w:t>
            </w:r>
            <w:r w:rsidRPr="00EC2DC7">
              <w:rPr>
                <w:sz w:val="20"/>
              </w:rPr>
              <w:t>а</w:t>
            </w:r>
            <w:r w:rsidRPr="00EC2DC7">
              <w:rPr>
                <w:sz w:val="20"/>
              </w:rPr>
              <w:t>йонах області утворено групи для проведення перевірок щодо легалізації опл</w:t>
            </w:r>
            <w:r w:rsidRPr="00EC2DC7">
              <w:rPr>
                <w:sz w:val="20"/>
              </w:rPr>
              <w:t>а</w:t>
            </w:r>
            <w:r w:rsidRPr="00EC2DC7">
              <w:rPr>
                <w:sz w:val="20"/>
              </w:rPr>
              <w:t>ти праці та з</w:t>
            </w:r>
            <w:r w:rsidRPr="00EC2DC7">
              <w:rPr>
                <w:sz w:val="20"/>
              </w:rPr>
              <w:t>а</w:t>
            </w:r>
            <w:r w:rsidRPr="00EC2DC7">
              <w:rPr>
                <w:sz w:val="20"/>
              </w:rPr>
              <w:t>йнятості нас</w:t>
            </w:r>
            <w:r w:rsidRPr="00EC2DC7">
              <w:rPr>
                <w:sz w:val="20"/>
              </w:rPr>
              <w:t>е</w:t>
            </w:r>
            <w:r w:rsidRPr="00EC2DC7">
              <w:rPr>
                <w:sz w:val="20"/>
              </w:rPr>
              <w:t>лення. До складу груп залучені представники територіальних підрозділів Г</w:t>
            </w:r>
            <w:r w:rsidRPr="00EC2DC7">
              <w:rPr>
                <w:sz w:val="20"/>
              </w:rPr>
              <w:t>о</w:t>
            </w:r>
            <w:r w:rsidRPr="00EC2DC7">
              <w:rPr>
                <w:sz w:val="20"/>
              </w:rPr>
              <w:t>ловного упра</w:t>
            </w:r>
            <w:r w:rsidRPr="00EC2DC7">
              <w:rPr>
                <w:sz w:val="20"/>
              </w:rPr>
              <w:t>в</w:t>
            </w:r>
            <w:r w:rsidRPr="00EC2DC7">
              <w:rPr>
                <w:sz w:val="20"/>
              </w:rPr>
              <w:t>ління ДФС у Херсонській о</w:t>
            </w:r>
            <w:r w:rsidRPr="00EC2DC7">
              <w:rPr>
                <w:sz w:val="20"/>
              </w:rPr>
              <w:t>б</w:t>
            </w:r>
            <w:r w:rsidRPr="00EC2DC7">
              <w:rPr>
                <w:sz w:val="20"/>
              </w:rPr>
              <w:t>ласті, Головного управління Держпраці у Херсонській о</w:t>
            </w:r>
            <w:r w:rsidRPr="00EC2DC7">
              <w:rPr>
                <w:sz w:val="20"/>
              </w:rPr>
              <w:t>б</w:t>
            </w:r>
            <w:r w:rsidRPr="00EC2DC7">
              <w:rPr>
                <w:sz w:val="20"/>
              </w:rPr>
              <w:t>ласті, Пенсійн</w:t>
            </w:r>
            <w:r w:rsidRPr="00EC2DC7">
              <w:rPr>
                <w:sz w:val="20"/>
              </w:rPr>
              <w:t>о</w:t>
            </w:r>
            <w:r w:rsidRPr="00EC2DC7">
              <w:rPr>
                <w:sz w:val="20"/>
              </w:rPr>
              <w:t>го фонду Укра</w:t>
            </w:r>
            <w:r w:rsidRPr="00EC2DC7">
              <w:rPr>
                <w:sz w:val="20"/>
              </w:rPr>
              <w:t>ї</w:t>
            </w:r>
            <w:r w:rsidRPr="00EC2DC7">
              <w:rPr>
                <w:sz w:val="20"/>
              </w:rPr>
              <w:t>ни, структурних підрозділів де</w:t>
            </w:r>
            <w:r w:rsidRPr="00EC2DC7">
              <w:rPr>
                <w:sz w:val="20"/>
              </w:rPr>
              <w:t>р</w:t>
            </w:r>
            <w:r w:rsidRPr="00EC2DC7">
              <w:rPr>
                <w:sz w:val="20"/>
              </w:rPr>
              <w:t>жавних адміні</w:t>
            </w:r>
            <w:r w:rsidRPr="00EC2DC7">
              <w:rPr>
                <w:sz w:val="20"/>
              </w:rPr>
              <w:t>с</w:t>
            </w:r>
            <w:r w:rsidRPr="00EC2DC7">
              <w:rPr>
                <w:sz w:val="20"/>
              </w:rPr>
              <w:t>трацій і вико</w:t>
            </w:r>
            <w:r w:rsidRPr="00EC2DC7">
              <w:rPr>
                <w:sz w:val="20"/>
              </w:rPr>
              <w:t>н</w:t>
            </w:r>
            <w:r w:rsidRPr="00EC2DC7">
              <w:rPr>
                <w:sz w:val="20"/>
              </w:rPr>
              <w:t xml:space="preserve">комів та служби зайнятості. </w:t>
            </w:r>
          </w:p>
          <w:p w:rsidR="00A131C8" w:rsidRPr="00EC2DC7" w:rsidRDefault="00A131C8" w:rsidP="00EC2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Протягом року робочими гр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пами проведено                   370 перевірок, якими охоплено 3561 роботод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вець – юриди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 xml:space="preserve">них та фізичних осіб. </w:t>
            </w:r>
          </w:p>
          <w:p w:rsidR="00A131C8" w:rsidRPr="00EC2DC7" w:rsidRDefault="00A131C8" w:rsidP="00EC2DC7">
            <w:pPr>
              <w:pStyle w:val="BodyTextIndent3"/>
              <w:ind w:left="0" w:firstLine="0"/>
              <w:rPr>
                <w:sz w:val="20"/>
              </w:rPr>
            </w:pPr>
            <w:r w:rsidRPr="00EC2DC7">
              <w:rPr>
                <w:sz w:val="20"/>
              </w:rPr>
              <w:t>У ході перевірок виявлено 714 порушень, в т</w:t>
            </w:r>
            <w:r w:rsidRPr="00EC2DC7">
              <w:rPr>
                <w:sz w:val="20"/>
              </w:rPr>
              <w:t>о</w:t>
            </w:r>
            <w:r w:rsidRPr="00EC2DC7">
              <w:rPr>
                <w:sz w:val="20"/>
              </w:rPr>
              <w:t>му числі щодо використання роботодавцями найманої праці без належного її оформлення. Найбільше вия</w:t>
            </w:r>
            <w:r w:rsidRPr="00EC2DC7">
              <w:rPr>
                <w:sz w:val="20"/>
              </w:rPr>
              <w:t>в</w:t>
            </w:r>
            <w:r w:rsidRPr="00EC2DC7">
              <w:rPr>
                <w:sz w:val="20"/>
              </w:rPr>
              <w:t>лено неофор</w:t>
            </w:r>
            <w:r w:rsidRPr="00EC2DC7">
              <w:rPr>
                <w:sz w:val="20"/>
              </w:rPr>
              <w:t>м</w:t>
            </w:r>
            <w:r w:rsidRPr="00EC2DC7">
              <w:rPr>
                <w:sz w:val="20"/>
              </w:rPr>
              <w:t>лених найманих працівників у сфері роздрібної та оптової торг</w:t>
            </w:r>
            <w:r w:rsidRPr="00EC2DC7">
              <w:rPr>
                <w:sz w:val="20"/>
              </w:rPr>
              <w:t>і</w:t>
            </w:r>
            <w:r w:rsidRPr="00EC2DC7">
              <w:rPr>
                <w:sz w:val="20"/>
              </w:rPr>
              <w:t xml:space="preserve">влі. </w:t>
            </w:r>
          </w:p>
          <w:p w:rsidR="00A131C8" w:rsidRPr="00EC2DC7" w:rsidRDefault="00A131C8" w:rsidP="00EC2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Внаслідок вж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тих заходів лег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 xml:space="preserve">лізовано 585 робочих місць 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8922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Здійснення професійної підготовки, перепідг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товки, пі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вищення кваліфікації безробітн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го та зайн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я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того нас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лення за робітнич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ми профес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ями (у тому числі за укрупнен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ми та інте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рованими), враховуючи поточну і перспект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вну потреби ринку пр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ці, відпов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дно до 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новних пріорите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 напр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я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мів розви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ку економ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ки регіону (сільське господарс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во, туризм, у тому чи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лі зелений туризм, суднобуд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вання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2016-2017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Програма економі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ного, 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ціального та культ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рного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кої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ті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A131C8" w:rsidRPr="00EC2DC7" w:rsidRDefault="00A131C8" w:rsidP="00EC2DC7">
            <w:pPr>
              <w:overflowPunct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Протягом  року  за направленн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я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ми обласної служби зайнят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сті 5095 осіб проходили пр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фнавчання.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вень працевла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ш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тування безроб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тних після 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 xml:space="preserve">вчання склав 97%. </w:t>
            </w:r>
          </w:p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Проводились  курси цільового призначання за різноманітними напрямками 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вчання, стаж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вання або 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вчання за індив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дуальними 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вчальними пл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нами та прогр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мами безпосер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дньо на виро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ництві, з под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льшим прац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влаштуванням.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276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17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2DC7">
              <w:rPr>
                <w:rFonts w:ascii="Times New Roman" w:hAnsi="Times New Roman"/>
                <w:b/>
                <w:sz w:val="20"/>
                <w:szCs w:val="20"/>
              </w:rPr>
              <w:t>2.4.12. Створення умов для розв’язання нагальних проблем переселенців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9489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Забезпече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 ведення Єдиної 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формаці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й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ної бази даних про взятих на облік вну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рішньо 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реміщених осіб; офо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млення та видача 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відок про взяття на облік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2016-2017 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Постан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 Кабін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ту Мініс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рів Укра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ї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 від 01 жовтня 2014 року № 509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«Про 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лік вну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рішньо переміщ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 осіб» та від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01 жовтня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2014 року № 505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«Про 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дання щоміся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ної адре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ної доп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моги вн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тріш-ньо переміщ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ним ос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бам для покриття витрат на прож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 xml:space="preserve">вання, в тому числі на оплату 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житлово-комун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льних 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слуг»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color w:val="FF0000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color w:val="FF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color w:val="FF0000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color w:val="FF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A131C8" w:rsidRPr="00EC2DC7" w:rsidRDefault="00A131C8" w:rsidP="00EC2DC7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color w:val="FF0000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color w:val="FF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A131C8" w:rsidRPr="00EC2DC7" w:rsidRDefault="00A131C8" w:rsidP="00EC2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Забезпечено р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боту в 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Єдиній інформаційній базі даних про взятих на облік внутрішньо 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 xml:space="preserve">реміщених осіб. </w:t>
            </w:r>
          </w:p>
          <w:p w:rsidR="00A131C8" w:rsidRPr="00EC2DC7" w:rsidRDefault="00A131C8" w:rsidP="00EC2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Станом на  01 січня 2018 року на обліку пер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бувало 13786 осіб та 10355 сімей, які пер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міщуються з тимчасово ок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пованої терит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рії України та районів пров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дення антитер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ристичної оп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рації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2212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Здійснення першоче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гового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гляду зве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нень щодо переведе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 держа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 соці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льних 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помог вну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рішньо 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реміщеним особам та забезпече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 їм 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плати де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жавних 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помог за тимчасовим місцем проживання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Постан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 Кабін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ту Мініс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рів Укра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ї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 від 01 жовтня 2014 року № 509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«Про 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лік вну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рішньо переміщ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 осіб» та від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01 жовтня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2014 року № 505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«Про 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дання щоміся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ної адре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ної доп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моги вн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тріш-ньо переміщ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ним ос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бам для покриття витрат на прож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 xml:space="preserve">вання, в тому числі на оплату 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житлово-комун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льних 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слуг»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-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A131C8" w:rsidRPr="00EC2DC7" w:rsidRDefault="00A131C8" w:rsidP="00EC2DC7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A131C8" w:rsidRPr="00EC2DC7" w:rsidRDefault="00A131C8" w:rsidP="00EC2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Протягом 2017 року 1753 сім’ям надано щоміся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ну адресну 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помогу внутр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шньо переміщ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ним особам для покриття витрат на проживання, в тому числі на оплату житлово-комунальних послуг призн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чено та виплач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 на загальну суму 40,6 млн грн. Заборгов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 xml:space="preserve">ності з виплати допомоги немає. </w:t>
            </w:r>
          </w:p>
          <w:p w:rsidR="00A131C8" w:rsidRPr="00EC2DC7" w:rsidRDefault="00A131C8" w:rsidP="00EC2DC7">
            <w:pPr>
              <w:pStyle w:val="BodyTextIndent3"/>
              <w:ind w:left="0" w:firstLine="0"/>
              <w:jc w:val="both"/>
              <w:rPr>
                <w:color w:val="000000"/>
                <w:sz w:val="20"/>
                <w:lang w:eastAsia="en-US"/>
              </w:rPr>
            </w:pPr>
            <w:r w:rsidRPr="00EC2DC7">
              <w:rPr>
                <w:color w:val="000000"/>
                <w:sz w:val="20"/>
                <w:lang w:eastAsia="en-US"/>
              </w:rPr>
              <w:t>Здійснюється інформаційно-роз’яснювальна робота серед внутрішньо п</w:t>
            </w:r>
            <w:r w:rsidRPr="00EC2DC7">
              <w:rPr>
                <w:color w:val="000000"/>
                <w:sz w:val="20"/>
                <w:lang w:eastAsia="en-US"/>
              </w:rPr>
              <w:t>е</w:t>
            </w:r>
            <w:r w:rsidRPr="00EC2DC7">
              <w:rPr>
                <w:color w:val="000000"/>
                <w:sz w:val="20"/>
                <w:lang w:eastAsia="en-US"/>
              </w:rPr>
              <w:t>реміщених осіб щодо можливо</w:t>
            </w:r>
            <w:r w:rsidRPr="00EC2DC7">
              <w:rPr>
                <w:color w:val="000000"/>
                <w:sz w:val="20"/>
                <w:lang w:eastAsia="en-US"/>
              </w:rPr>
              <w:t>с</w:t>
            </w:r>
            <w:r w:rsidRPr="00EC2DC7">
              <w:rPr>
                <w:color w:val="000000"/>
                <w:sz w:val="20"/>
                <w:lang w:eastAsia="en-US"/>
              </w:rPr>
              <w:t>ті отримати р</w:t>
            </w:r>
            <w:r w:rsidRPr="00EC2DC7">
              <w:rPr>
                <w:color w:val="000000"/>
                <w:sz w:val="20"/>
                <w:lang w:eastAsia="en-US"/>
              </w:rPr>
              <w:t>а</w:t>
            </w:r>
            <w:r w:rsidRPr="00EC2DC7">
              <w:rPr>
                <w:color w:val="000000"/>
                <w:sz w:val="20"/>
                <w:lang w:eastAsia="en-US"/>
              </w:rPr>
              <w:t>зову матеріальну допомогу за р</w:t>
            </w:r>
            <w:r w:rsidRPr="00EC2DC7">
              <w:rPr>
                <w:color w:val="000000"/>
                <w:sz w:val="20"/>
                <w:lang w:eastAsia="en-US"/>
              </w:rPr>
              <w:t>а</w:t>
            </w:r>
            <w:r w:rsidRPr="00EC2DC7">
              <w:rPr>
                <w:color w:val="000000"/>
                <w:sz w:val="20"/>
                <w:lang w:eastAsia="en-US"/>
              </w:rPr>
              <w:t>хунок благоді</w:t>
            </w:r>
            <w:r w:rsidRPr="00EC2DC7">
              <w:rPr>
                <w:color w:val="000000"/>
                <w:sz w:val="20"/>
                <w:lang w:eastAsia="en-US"/>
              </w:rPr>
              <w:t>й</w:t>
            </w:r>
            <w:r w:rsidRPr="00EC2DC7">
              <w:rPr>
                <w:color w:val="000000"/>
                <w:sz w:val="20"/>
                <w:lang w:eastAsia="en-US"/>
              </w:rPr>
              <w:t>них коштів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9206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Забезпече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 надання якісної 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дичної 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помоги 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страждалим у зоні АТО, членам їх родин, 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женцям з тимчасово окупованих територій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2016-2017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Програма економі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ного, 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ціального та культ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рного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Хер-сонської області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Кількість проліков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 осіб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43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  <w:tc>
          <w:tcPr>
            <w:tcW w:w="1701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Медична доп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мога військово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лужбовцям над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ється в КЗ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«Херсонський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обласний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госпіталь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інвалідів та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ветеранів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війни» на базі якого у 2017 році проліковано 348 особи з числа учасників АТО, що на 91,9 % більше ніж у відповідному періоді минулого року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193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17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2DC7">
              <w:rPr>
                <w:rFonts w:ascii="Times New Roman" w:hAnsi="Times New Roman"/>
                <w:b/>
                <w:sz w:val="20"/>
                <w:szCs w:val="20"/>
              </w:rPr>
              <w:t>2.4.12. Підвищення стандартів життя у сільській місцевості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5997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Відновле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 водоп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стачання населених пунктів, які не мають власних джерел 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тної води. Будівниц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во водог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нів та рек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нструкція артезіанс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ких свер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ловин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2016-2017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bCs/>
                <w:sz w:val="20"/>
                <w:szCs w:val="20"/>
              </w:rPr>
              <w:t>Рішення обласної ради від 10.05.2012 №472 "Про о</w:t>
            </w:r>
            <w:r w:rsidRPr="00EC2DC7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EC2DC7">
              <w:rPr>
                <w:rFonts w:ascii="Times New Roman" w:hAnsi="Times New Roman"/>
                <w:bCs/>
                <w:sz w:val="20"/>
                <w:szCs w:val="20"/>
              </w:rPr>
              <w:t>ласну програму "Питна вода Херсо</w:t>
            </w:r>
            <w:r w:rsidRPr="00EC2DC7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bCs/>
                <w:sz w:val="20"/>
                <w:szCs w:val="20"/>
              </w:rPr>
              <w:t>щини на 2012-2020 роки"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45987,2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9783,6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37600,38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21685,79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Кількість побудов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 та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конструй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ваних вод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забірних споруд, од..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1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-27</w:t>
            </w:r>
          </w:p>
        </w:tc>
        <w:tc>
          <w:tcPr>
            <w:tcW w:w="1701" w:type="dxa"/>
            <w:gridSpan w:val="3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Проведена роб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та з відновлення водопостачання в таких насел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 пунктів:</w:t>
            </w:r>
          </w:p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м.Херсон,</w:t>
            </w:r>
          </w:p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с.Нововасилівка Іванівського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йону, смт Парт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зани Генічеськ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 xml:space="preserve">го району, </w:t>
            </w:r>
          </w:p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смт Чаплинка, смт Горностаївка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2212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Формува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 ефекти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ної мережі підпр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ємств торг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влі в сільс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кій місц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вості за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хунок ві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криття 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вих об’єктів та відно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лення ді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я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льності 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працюючих закладів, створення сприятл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вих умов для освоє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 суб’єктами підприє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ницької діяльності економічно малоефе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тивних зон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2016-2017 рік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Програма економі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ного, 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ціального та культ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рного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кої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ті на 2016 рік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3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3"/>
          </w:tcPr>
          <w:p w:rsidR="00A131C8" w:rsidRPr="00EC2DC7" w:rsidRDefault="00A131C8" w:rsidP="00EC2DC7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Станом на 01січня  2017 року на балансі підприємств-юридичних осіб, що здійснювали діяльність з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дрібній торгівлі, налічувалось 1344 об’єктів торгівлі, з яких 1034 магазинів та 310 напівст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ціонарних пі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приємств. Їх 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лькість залиш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лася майже на рівні відповідн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го періоду мин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лого року.  зн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чення  Протягом 2017 року ві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крито 1 супе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маркет, 50 пр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довольчих маг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зинів,  28 непр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довольчих та 23 зі змішаним ас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ртиментом. Із загальної кільк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сті в сільській місцевості було відкрито 17 об’єктів торгівлі.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2212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Очищення сільської місцевості від шкідл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вих та 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придатних до викори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тання хім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чних реч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вин, що застосов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валися для захисту рослин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 xml:space="preserve">2016 2017 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 xml:space="preserve"> рік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Програма економі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ного, 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ціального та культ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рного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Хер-сонської області на 2016 рік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92861,9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92861,9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Кількість вивезених та знищ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 відх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дів, тонн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1887,436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 xml:space="preserve">Не виконано 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На території України відсутні підприємс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ва, які 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ють ліце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зію на зді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й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снення оп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рацій з ут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лізації хім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чних засобів захисту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слин, вказ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ні роботи можливо здійснити лише за межами держави за умови ная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ності дозв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лу на тран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кордонне перевезення</w:t>
            </w:r>
          </w:p>
        </w:tc>
      </w:tr>
      <w:tr w:rsidR="00A131C8" w:rsidTr="00EC2DC7">
        <w:trPr>
          <w:trHeight w:val="2212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Покраще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 кадров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го забезп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чення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кладів ох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рони зд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ров’я, 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укомпле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тування, у першу че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гу сільських підрозділів центрів 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рвинної медично-санітарної допомоги, міських та централ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 райо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 лік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рень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Програма економі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ного, 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ціального та культ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рного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кої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ті на 2016 рік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Кількість центрів 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рвинної медико-санітарної допомоги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+4</w:t>
            </w:r>
          </w:p>
        </w:tc>
        <w:tc>
          <w:tcPr>
            <w:tcW w:w="1701" w:type="dxa"/>
            <w:gridSpan w:val="3"/>
          </w:tcPr>
          <w:p w:rsidR="00A131C8" w:rsidRPr="00EC2DC7" w:rsidRDefault="00A131C8" w:rsidP="00EC2D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sz w:val="20"/>
                <w:szCs w:val="20"/>
                <w:highlight w:val="green"/>
              </w:rPr>
              <w:t>Укомплектов</w:t>
            </w:r>
            <w:r w:rsidRPr="00EC2DC7">
              <w:rPr>
                <w:rFonts w:ascii="Times New Roman" w:hAnsi="Times New Roman"/>
                <w:sz w:val="20"/>
                <w:szCs w:val="20"/>
                <w:highlight w:val="green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  <w:highlight w:val="green"/>
              </w:rPr>
              <w:t>ність лікарями лікувально-профілактичних закладів області становить 70,2%, в т.ч. ЦПМСД – 56,4%, ЦРЛ – 65,1%, міських лікарень – 79,4%; середнім медичним пе</w:t>
            </w:r>
            <w:r w:rsidRPr="00EC2DC7">
              <w:rPr>
                <w:rFonts w:ascii="Times New Roman" w:hAnsi="Times New Roman"/>
                <w:sz w:val="20"/>
                <w:szCs w:val="20"/>
                <w:highlight w:val="green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соналом – 84,8%, у т.ч. ЦПМСД – 85,4%, ЦРЛ – 86,4%, міських лікарень – 83,7%. 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1.Скасування обов’язкового відпр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цювання випускн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ками вищих навчальних закладів, підготовка яких здій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нювалася за державним замовле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ням (Закон України від 6 жовтня 2016 року № 1662-VІІІ).</w:t>
            </w:r>
          </w:p>
          <w:p w:rsidR="00A131C8" w:rsidRPr="00EC2DC7" w:rsidRDefault="00A131C8" w:rsidP="00EC2D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2.Відсутність житла на селі та н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зька зарпл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 для м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лодих сп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ціалістів. </w:t>
            </w:r>
          </w:p>
          <w:p w:rsidR="00A131C8" w:rsidRPr="00EC2DC7" w:rsidRDefault="00A131C8" w:rsidP="00EC2D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3.Не відп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відність будівель сільських ЗОЗ будів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льним та санітарним нормам.</w:t>
            </w:r>
          </w:p>
          <w:p w:rsidR="00A131C8" w:rsidRPr="00EC2DC7" w:rsidRDefault="00A131C8" w:rsidP="00EC2DC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4.Відсутність забезпеч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ності сіл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ських з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кладів ох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рони зд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ров’я нео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хідним  м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дичним о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ладнанням, комп’ютерною техн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кою та а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тотранспо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том.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5.Відсутність інфр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структури доріг з тв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рдим п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криттям, відсутність  установл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них мар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рутів гр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мадського транспорту, що забезп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чують сп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лучення населених пунктів з обласним центром (як мінімум 4 рази на день),належних побут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вих умов та закладів культурного відпочинку для молоді</w:t>
            </w:r>
          </w:p>
        </w:tc>
      </w:tr>
      <w:tr w:rsidR="00A131C8" w:rsidTr="00EC2DC7">
        <w:trPr>
          <w:trHeight w:val="237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17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2DC7">
              <w:rPr>
                <w:rFonts w:ascii="Times New Roman" w:hAnsi="Times New Roman"/>
                <w:b/>
                <w:sz w:val="20"/>
                <w:szCs w:val="20"/>
              </w:rPr>
              <w:t>2.4.14. Модернізація системи освіти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1987"/>
        </w:trPr>
        <w:tc>
          <w:tcPr>
            <w:tcW w:w="851" w:type="dxa"/>
            <w:vMerge w:val="restart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Підтримка мережі 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шкільної освіти</w:t>
            </w:r>
          </w:p>
        </w:tc>
        <w:tc>
          <w:tcPr>
            <w:tcW w:w="1134" w:type="dxa"/>
            <w:vMerge w:val="restart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2016-1017 роки</w:t>
            </w:r>
          </w:p>
        </w:tc>
        <w:tc>
          <w:tcPr>
            <w:tcW w:w="1134" w:type="dxa"/>
            <w:vMerge w:val="restart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План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ходів з реалізації у 2016 - 2017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ках стр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тегії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кої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ті  на 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ріод до 2020 року</w:t>
            </w:r>
          </w:p>
        </w:tc>
        <w:tc>
          <w:tcPr>
            <w:tcW w:w="1134" w:type="dxa"/>
            <w:vMerge w:val="restart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 w:val="restart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4067,183</w:t>
            </w:r>
          </w:p>
        </w:tc>
        <w:tc>
          <w:tcPr>
            <w:tcW w:w="851" w:type="dxa"/>
            <w:vMerge w:val="restart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4067,183</w:t>
            </w:r>
          </w:p>
        </w:tc>
        <w:tc>
          <w:tcPr>
            <w:tcW w:w="992" w:type="dxa"/>
            <w:vMerge w:val="restart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4067,183</w:t>
            </w:r>
          </w:p>
        </w:tc>
        <w:tc>
          <w:tcPr>
            <w:tcW w:w="1134" w:type="dxa"/>
            <w:vMerge w:val="restart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4067,183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Чисельність дітей у 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шкільних навчальних закладах у розрахунку на 100 місць, осіб</w:t>
            </w:r>
          </w:p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97</w:t>
            </w:r>
          </w:p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97</w:t>
            </w:r>
          </w:p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gridSpan w:val="3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A131C8" w:rsidRPr="00EC2DC7" w:rsidRDefault="00A131C8" w:rsidP="00EC2DC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uk-UA"/>
              </w:rPr>
            </w:pPr>
            <w:r w:rsidRPr="00EC2DC7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Проведено капітальний ремонт 5 дошкільних навчальних закладів</w:t>
            </w:r>
          </w:p>
        </w:tc>
        <w:tc>
          <w:tcPr>
            <w:tcW w:w="1289" w:type="dxa"/>
            <w:gridSpan w:val="2"/>
            <w:vMerge w:val="restart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1986"/>
        </w:trPr>
        <w:tc>
          <w:tcPr>
            <w:tcW w:w="851" w:type="dxa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Охоплення дошкільн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ми навч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льними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кладами, %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856" w:type="dxa"/>
            <w:gridSpan w:val="3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A131C8" w:rsidRPr="00EC2DC7" w:rsidRDefault="00A131C8" w:rsidP="00EC2DC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89" w:type="dxa"/>
            <w:gridSpan w:val="2"/>
            <w:vMerge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2212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Формува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  освітніх округів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2016-2017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План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ходів з реалізації у 2016-2017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ках стр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тегії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Хер-сон-ської 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ласті на період до 2020 року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Style w:val="rvts0"/>
                <w:rFonts w:ascii="Times New Roman" w:hAnsi="Times New Roman"/>
                <w:sz w:val="20"/>
                <w:szCs w:val="20"/>
              </w:rPr>
            </w:pPr>
            <w:r w:rsidRPr="00EC2DC7">
              <w:rPr>
                <w:rStyle w:val="rvts0"/>
                <w:rFonts w:ascii="Times New Roman" w:hAnsi="Times New Roman"/>
                <w:sz w:val="20"/>
                <w:szCs w:val="20"/>
              </w:rPr>
              <w:t>Кількість освітніх округів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6" w:type="dxa"/>
            <w:gridSpan w:val="3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У звітному періоді створено 2 освітні округи з визначе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ням опо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 шкіл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2212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Забезпече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 підв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щення як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сті рівного доступу населення до загальної середньої освіти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2016-2017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Програма економі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ного, 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ціального та культ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рного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кої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ті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33400,7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11690,7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21710,0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Style w:val="rvts0"/>
                <w:rFonts w:ascii="Times New Roman" w:hAnsi="Times New Roman"/>
                <w:sz w:val="20"/>
                <w:szCs w:val="20"/>
              </w:rPr>
            </w:pPr>
            <w:r w:rsidRPr="00EC2DC7">
              <w:rPr>
                <w:rStyle w:val="rvts0"/>
                <w:rFonts w:ascii="Times New Roman" w:hAnsi="Times New Roman"/>
                <w:sz w:val="20"/>
                <w:szCs w:val="20"/>
              </w:rPr>
              <w:t>Частка д</w:t>
            </w:r>
            <w:r w:rsidRPr="00EC2DC7">
              <w:rPr>
                <w:rStyle w:val="rvts0"/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Style w:val="rvts0"/>
                <w:rFonts w:ascii="Times New Roman" w:hAnsi="Times New Roman"/>
                <w:sz w:val="20"/>
                <w:szCs w:val="20"/>
              </w:rPr>
              <w:t>тей сільс</w:t>
            </w:r>
            <w:r w:rsidRPr="00EC2DC7">
              <w:rPr>
                <w:rStyle w:val="rvts0"/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Style w:val="rvts0"/>
                <w:rFonts w:ascii="Times New Roman" w:hAnsi="Times New Roman"/>
                <w:sz w:val="20"/>
                <w:szCs w:val="20"/>
              </w:rPr>
              <w:t>кої місцев</w:t>
            </w:r>
            <w:r w:rsidRPr="00EC2DC7">
              <w:rPr>
                <w:rStyle w:val="rvts0"/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Style w:val="rvts0"/>
                <w:rFonts w:ascii="Times New Roman" w:hAnsi="Times New Roman"/>
                <w:sz w:val="20"/>
                <w:szCs w:val="20"/>
              </w:rPr>
              <w:t>сті, для яких орган</w:t>
            </w:r>
            <w:r w:rsidRPr="00EC2DC7">
              <w:rPr>
                <w:rStyle w:val="rvts0"/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Style w:val="rvts0"/>
                <w:rFonts w:ascii="Times New Roman" w:hAnsi="Times New Roman"/>
                <w:sz w:val="20"/>
                <w:szCs w:val="20"/>
              </w:rPr>
              <w:t>зовано пі</w:t>
            </w:r>
            <w:r w:rsidRPr="00EC2DC7">
              <w:rPr>
                <w:rStyle w:val="rvts0"/>
                <w:rFonts w:ascii="Times New Roman" w:hAnsi="Times New Roman"/>
                <w:sz w:val="20"/>
                <w:szCs w:val="20"/>
              </w:rPr>
              <w:t>д</w:t>
            </w:r>
            <w:r w:rsidRPr="00EC2DC7">
              <w:rPr>
                <w:rStyle w:val="rvts0"/>
                <w:rFonts w:ascii="Times New Roman" w:hAnsi="Times New Roman"/>
                <w:sz w:val="20"/>
                <w:szCs w:val="20"/>
              </w:rPr>
              <w:t>везення до місця н</w:t>
            </w:r>
            <w:r w:rsidRPr="00EC2DC7">
              <w:rPr>
                <w:rStyle w:val="rvts0"/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Style w:val="rvts0"/>
                <w:rFonts w:ascii="Times New Roman" w:hAnsi="Times New Roman"/>
                <w:sz w:val="20"/>
                <w:szCs w:val="20"/>
              </w:rPr>
              <w:t>вчання і додому, % до загальної кількості учнів, які того потр</w:t>
            </w:r>
            <w:r w:rsidRPr="00EC2DC7">
              <w:rPr>
                <w:rStyle w:val="rvts0"/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Style w:val="rvts0"/>
                <w:rFonts w:ascii="Times New Roman" w:hAnsi="Times New Roman"/>
                <w:sz w:val="20"/>
                <w:szCs w:val="20"/>
              </w:rPr>
              <w:t>бують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6" w:type="dxa"/>
            <w:gridSpan w:val="3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Придбано 25 шкіл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 автоб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сів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2212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Збереження та розвиток мережі гу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тків поз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шкільних навчальних закладів, творчих об’єднань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2016-2017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Програма економі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ного, 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ціального та культ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рного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кої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 xml:space="preserve">ті  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Питома вага  дітей, охо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лених 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зашкільною освітою, % до загальної кількості дітей шк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льного віку %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89,6</w:t>
            </w:r>
          </w:p>
        </w:tc>
        <w:tc>
          <w:tcPr>
            <w:tcW w:w="856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У звітному періоді ві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крито 33 гуртки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2212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Забезпече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 навчал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но-виховного процесу засобами інформ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ційно-комунік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ційних те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нологій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2016 -2017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Програма економіч-ного, 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ціального та кул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тур-ного розвитку 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кої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 xml:space="preserve">ті  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Частка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гальноосв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тніх навч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льних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кладів де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ної форми навчання сільської місцевості, що викор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стовують у навчально-виховному процесі комп’ютерну техніку, підключену до мережі Інтернет,% до загальної кількості таких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кладів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6" w:type="dxa"/>
            <w:gridSpan w:val="3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У 2017 року 11 опорних навчальних закладів області за рахунок цільових коштів освітньої субвенції отримали 14 навчал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 кабін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 xml:space="preserve">тів (біології – 1, фізики – 7, хімії – 5, географії – 1; </w:t>
            </w:r>
          </w:p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67 закладів освіти отримали 713 од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ниць комп’ютерної техніки, відповідно до Угоди між Урядом України та Китайської Народної Республіки.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198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17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2DC7">
              <w:rPr>
                <w:rFonts w:ascii="Times New Roman" w:hAnsi="Times New Roman"/>
                <w:b/>
                <w:sz w:val="20"/>
                <w:szCs w:val="20"/>
              </w:rPr>
              <w:t>2.4.16. Створення умов для формування здорового населення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2212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Поліпшення якості та доступності надання медичної, лікувально-профіла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тичної 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помоги 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селенню області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2016-2017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План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ходів з реалізації у 2016-2017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ках стр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тегії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кої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ті на пер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од до 2020 року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Загальний коефіцієнт смертності на 1 тис. осіб ная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 нас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лення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15,1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14,3</w:t>
            </w:r>
          </w:p>
        </w:tc>
        <w:tc>
          <w:tcPr>
            <w:tcW w:w="856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-0,8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Мережа закладів охорони здоров’я області має розвинену інфрастру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 xml:space="preserve">туру та включає  </w:t>
            </w:r>
          </w:p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 xml:space="preserve">88 закладів охорони здоров'я. 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2212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Створення умов для надання екстреної медичної допомоги протягом нормати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 часу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План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ходів з реалізації у 2017-2019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ках стр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тегії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кої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ті на пер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од до 2020 року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План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ходів з реалізації у 2017-2019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ках стр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тегії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кої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ті на пер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од до 2020 року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29500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4975,4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4975,4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4975,4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pStyle w:val="a1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EC2DC7">
              <w:rPr>
                <w:rFonts w:ascii="Times New Roman" w:hAnsi="Times New Roman"/>
                <w:sz w:val="20"/>
              </w:rPr>
              <w:t>Питома вага викликів виконаних своєчасно (до 10 хв</w:t>
            </w:r>
            <w:r w:rsidRPr="00EC2DC7">
              <w:rPr>
                <w:rFonts w:ascii="Times New Roman" w:hAnsi="Times New Roman"/>
                <w:sz w:val="20"/>
              </w:rPr>
              <w:t>и</w:t>
            </w:r>
            <w:r w:rsidRPr="00EC2DC7">
              <w:rPr>
                <w:rFonts w:ascii="Times New Roman" w:hAnsi="Times New Roman"/>
                <w:sz w:val="20"/>
              </w:rPr>
              <w:t>лин у місті та до 20 хвилин у сільській місцевості з моменту звернення) від загал</w:t>
            </w:r>
            <w:r w:rsidRPr="00EC2DC7">
              <w:rPr>
                <w:rFonts w:ascii="Times New Roman" w:hAnsi="Times New Roman"/>
                <w:sz w:val="20"/>
              </w:rPr>
              <w:t>ь</w:t>
            </w:r>
            <w:r w:rsidRPr="00EC2DC7">
              <w:rPr>
                <w:rFonts w:ascii="Times New Roman" w:hAnsi="Times New Roman"/>
                <w:sz w:val="20"/>
              </w:rPr>
              <w:t>ної кілько</w:t>
            </w:r>
            <w:r w:rsidRPr="00EC2DC7">
              <w:rPr>
                <w:rFonts w:ascii="Times New Roman" w:hAnsi="Times New Roman"/>
                <w:sz w:val="20"/>
              </w:rPr>
              <w:t>с</w:t>
            </w:r>
            <w:r w:rsidRPr="00EC2DC7">
              <w:rPr>
                <w:rFonts w:ascii="Times New Roman" w:hAnsi="Times New Roman"/>
                <w:sz w:val="20"/>
              </w:rPr>
              <w:t>ті викликів, %</w:t>
            </w:r>
          </w:p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1C8" w:rsidRPr="00EC2DC7" w:rsidRDefault="00A131C8" w:rsidP="00EC2DC7">
            <w:pPr>
              <w:pStyle w:val="a1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C2DC7">
              <w:rPr>
                <w:rFonts w:ascii="Times New Roman" w:hAnsi="Times New Roman"/>
                <w:sz w:val="20"/>
              </w:rPr>
              <w:t>77</w:t>
            </w:r>
          </w:p>
          <w:p w:rsidR="00A131C8" w:rsidRPr="00EC2DC7" w:rsidRDefault="00A131C8" w:rsidP="00EC2DC7">
            <w:pPr>
              <w:pStyle w:val="a1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pStyle w:val="a1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C2DC7">
              <w:rPr>
                <w:rFonts w:ascii="Times New Roman" w:hAnsi="Times New Roman"/>
                <w:sz w:val="20"/>
              </w:rPr>
              <w:t>76,7</w:t>
            </w:r>
          </w:p>
        </w:tc>
        <w:tc>
          <w:tcPr>
            <w:tcW w:w="856" w:type="dxa"/>
            <w:gridSpan w:val="3"/>
          </w:tcPr>
          <w:p w:rsidR="00A131C8" w:rsidRPr="00EC2DC7" w:rsidRDefault="00A131C8" w:rsidP="00EC2DC7">
            <w:pPr>
              <w:pStyle w:val="a1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C2DC7">
              <w:rPr>
                <w:rFonts w:ascii="Times New Roman" w:hAnsi="Times New Roman"/>
                <w:sz w:val="20"/>
              </w:rPr>
              <w:t>- 0,3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За проектом «Екстрена медична допомога», який пере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бачає пр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дбання 10  сучасних спеціаліз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ваних, оснащених обладна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ням, саніт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рних авт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мобілів з високою прохідністю В-класу у 2017 році за рахунок коштів державного фонду рег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онального розвитку придбано 2 таких авт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мобіля.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pStyle w:val="a1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EC2DC7">
              <w:rPr>
                <w:rFonts w:ascii="Times New Roman" w:hAnsi="Times New Roman"/>
                <w:sz w:val="20"/>
              </w:rPr>
              <w:t>Стан сан</w:t>
            </w:r>
            <w:r w:rsidRPr="00EC2DC7">
              <w:rPr>
                <w:rFonts w:ascii="Times New Roman" w:hAnsi="Times New Roman"/>
                <w:sz w:val="20"/>
              </w:rPr>
              <w:t>і</w:t>
            </w:r>
            <w:r w:rsidRPr="00EC2DC7">
              <w:rPr>
                <w:rFonts w:ascii="Times New Roman" w:hAnsi="Times New Roman"/>
                <w:sz w:val="20"/>
              </w:rPr>
              <w:t>тарного автотран</w:t>
            </w:r>
            <w:r w:rsidRPr="00EC2DC7">
              <w:rPr>
                <w:rFonts w:ascii="Times New Roman" w:hAnsi="Times New Roman"/>
                <w:sz w:val="20"/>
              </w:rPr>
              <w:t>с</w:t>
            </w:r>
            <w:r w:rsidRPr="00EC2DC7">
              <w:rPr>
                <w:rFonts w:ascii="Times New Roman" w:hAnsi="Times New Roman"/>
                <w:sz w:val="20"/>
              </w:rPr>
              <w:t>порту – 62% відпрац</w:t>
            </w:r>
            <w:r w:rsidRPr="00EC2DC7">
              <w:rPr>
                <w:rFonts w:ascii="Times New Roman" w:hAnsi="Times New Roman"/>
                <w:sz w:val="20"/>
              </w:rPr>
              <w:t>ю</w:t>
            </w:r>
            <w:r w:rsidRPr="00EC2DC7">
              <w:rPr>
                <w:rFonts w:ascii="Times New Roman" w:hAnsi="Times New Roman"/>
                <w:sz w:val="20"/>
              </w:rPr>
              <w:t>вали свій технічний ресурс, зн</w:t>
            </w:r>
            <w:r w:rsidRPr="00EC2DC7">
              <w:rPr>
                <w:rFonts w:ascii="Times New Roman" w:hAnsi="Times New Roman"/>
                <w:sz w:val="20"/>
              </w:rPr>
              <w:t>а</w:t>
            </w:r>
            <w:r w:rsidRPr="00EC2DC7">
              <w:rPr>
                <w:rFonts w:ascii="Times New Roman" w:hAnsi="Times New Roman"/>
                <w:sz w:val="20"/>
              </w:rPr>
              <w:t>ходяться у незадовіл</w:t>
            </w:r>
            <w:r w:rsidRPr="00EC2DC7">
              <w:rPr>
                <w:rFonts w:ascii="Times New Roman" w:hAnsi="Times New Roman"/>
                <w:sz w:val="20"/>
              </w:rPr>
              <w:t>ь</w:t>
            </w:r>
            <w:r w:rsidRPr="00EC2DC7">
              <w:rPr>
                <w:rFonts w:ascii="Times New Roman" w:hAnsi="Times New Roman"/>
                <w:sz w:val="20"/>
              </w:rPr>
              <w:t>ному стані або крити</w:t>
            </w:r>
            <w:r w:rsidRPr="00EC2DC7">
              <w:rPr>
                <w:rFonts w:ascii="Times New Roman" w:hAnsi="Times New Roman"/>
                <w:sz w:val="20"/>
              </w:rPr>
              <w:t>ч</w:t>
            </w:r>
            <w:r w:rsidRPr="00EC2DC7">
              <w:rPr>
                <w:rFonts w:ascii="Times New Roman" w:hAnsi="Times New Roman"/>
                <w:sz w:val="20"/>
              </w:rPr>
              <w:t>ному стані та потреб</w:t>
            </w:r>
            <w:r w:rsidRPr="00EC2DC7">
              <w:rPr>
                <w:rFonts w:ascii="Times New Roman" w:hAnsi="Times New Roman"/>
                <w:sz w:val="20"/>
              </w:rPr>
              <w:t>у</w:t>
            </w:r>
            <w:r w:rsidRPr="00EC2DC7">
              <w:rPr>
                <w:rFonts w:ascii="Times New Roman" w:hAnsi="Times New Roman"/>
                <w:sz w:val="20"/>
              </w:rPr>
              <w:t>ють капіт</w:t>
            </w:r>
            <w:r w:rsidRPr="00EC2DC7">
              <w:rPr>
                <w:rFonts w:ascii="Times New Roman" w:hAnsi="Times New Roman"/>
                <w:sz w:val="20"/>
              </w:rPr>
              <w:t>а</w:t>
            </w:r>
            <w:r w:rsidRPr="00EC2DC7">
              <w:rPr>
                <w:rFonts w:ascii="Times New Roman" w:hAnsi="Times New Roman"/>
                <w:sz w:val="20"/>
              </w:rPr>
              <w:t>льного р</w:t>
            </w:r>
            <w:r w:rsidRPr="00EC2DC7">
              <w:rPr>
                <w:rFonts w:ascii="Times New Roman" w:hAnsi="Times New Roman"/>
                <w:sz w:val="20"/>
              </w:rPr>
              <w:t>е</w:t>
            </w:r>
            <w:r w:rsidRPr="00EC2DC7">
              <w:rPr>
                <w:rFonts w:ascii="Times New Roman" w:hAnsi="Times New Roman"/>
                <w:sz w:val="20"/>
              </w:rPr>
              <w:t>монту.</w:t>
            </w:r>
          </w:p>
        </w:tc>
      </w:tr>
      <w:tr w:rsidR="00A131C8" w:rsidTr="00EC2DC7">
        <w:trPr>
          <w:trHeight w:val="5446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Забезпече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 розвитку госпітал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 округів, високосп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ціалізованої медичної допомоги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2017-2019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План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ходів з реалізації у 2017 -2019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ках стр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тегії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Хер-сон-ської 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ласті на період до 2020 року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План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ходів з реалізації у 2017 -2019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ках стр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тегії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Хер-сон-ської 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ласті на період до 2020 року</w:t>
            </w: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6500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6500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6500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Кількість госпітал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 округів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Створено 4 госпітал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 округа: 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кий, Бери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лавський, Генічеський та Таврі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й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ський.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2212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Приведення спортивної інфрастру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тури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ті у відпов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дність із сучасними стандарт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2016-2017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План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ходів з реалізації у 2016-2017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ках стр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тегії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Хер-сон-ської 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ласті на період до 2020 року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ind w:left="-122" w:right="-92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20008,7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ind w:left="-146" w:right="-150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20008,7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ind w:left="-122" w:right="-92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18146,4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ind w:left="-122" w:right="-92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18146,4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Питома вага ь населення охопленого всіма вид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ми фізкул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турно-оздоровчої та спорти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ної роб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ти,%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+7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Побудовано 13 спорти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 майд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нчиків зі штучним покриттям.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559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Забезпече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 пропаг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нди здор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вого спос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бу життя та популяр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зації фізи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ної культ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ри та спо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2016-2017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Програма економі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ного, 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ціального та культ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рного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кої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ті ,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тверджена рішенням обласної ради від 29 грудня 2016 року № 357 (зі змінами)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ind w:left="-122" w:right="-92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ind w:left="-146" w:right="-150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ind w:left="-122" w:right="-92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ind w:left="-122" w:right="-92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Частина дітей від 6 до 18 років, охоплених заняттями в дитячо-юнацьких спортивних школах, %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856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-0,1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0"/>
                <w:lang w:val="uk-UA"/>
              </w:rPr>
            </w:pPr>
            <w:r w:rsidRPr="00EC2DC7">
              <w:rPr>
                <w:rStyle w:val="2"/>
                <w:rFonts w:ascii="Times New Roman" w:hAnsi="Times New Roman"/>
                <w:color w:val="000000"/>
                <w:sz w:val="20"/>
                <w:lang w:val="uk-UA" w:eastAsia="uk-UA"/>
              </w:rPr>
              <w:t>У 2017 році</w:t>
            </w:r>
            <w:r w:rsidRPr="00EC2DC7">
              <w:rPr>
                <w:rStyle w:val="2"/>
                <w:rFonts w:ascii="Times New Roman" w:hAnsi="Times New Roman"/>
                <w:color w:val="000000"/>
                <w:sz w:val="20"/>
                <w:lang w:val="ru-RU" w:eastAsia="uk-UA"/>
              </w:rPr>
              <w:t xml:space="preserve"> </w:t>
            </w:r>
            <w:r w:rsidRPr="00EC2DC7">
              <w:rPr>
                <w:rStyle w:val="2"/>
                <w:rFonts w:ascii="Times New Roman" w:hAnsi="Times New Roman"/>
                <w:color w:val="000000"/>
                <w:sz w:val="20"/>
                <w:lang w:val="uk-UA" w:eastAsia="uk-UA"/>
              </w:rPr>
              <w:t>задля ро</w:t>
            </w:r>
            <w:r w:rsidRPr="00EC2DC7">
              <w:rPr>
                <w:rStyle w:val="2"/>
                <w:rFonts w:ascii="Times New Roman" w:hAnsi="Times New Roman"/>
                <w:color w:val="000000"/>
                <w:sz w:val="20"/>
                <w:lang w:val="uk-UA" w:eastAsia="uk-UA"/>
              </w:rPr>
              <w:t>з</w:t>
            </w:r>
            <w:r w:rsidRPr="00EC2DC7">
              <w:rPr>
                <w:rStyle w:val="2"/>
                <w:rFonts w:ascii="Times New Roman" w:hAnsi="Times New Roman"/>
                <w:color w:val="000000"/>
                <w:sz w:val="20"/>
                <w:lang w:val="uk-UA" w:eastAsia="uk-UA"/>
              </w:rPr>
              <w:t>витку дит</w:t>
            </w:r>
            <w:r w:rsidRPr="00EC2DC7">
              <w:rPr>
                <w:rStyle w:val="2"/>
                <w:rFonts w:ascii="Times New Roman" w:hAnsi="Times New Roman"/>
                <w:color w:val="000000"/>
                <w:sz w:val="20"/>
                <w:lang w:val="uk-UA" w:eastAsia="uk-UA"/>
              </w:rPr>
              <w:t>я</w:t>
            </w:r>
            <w:r w:rsidRPr="00EC2DC7">
              <w:rPr>
                <w:rStyle w:val="2"/>
                <w:rFonts w:ascii="Times New Roman" w:hAnsi="Times New Roman"/>
                <w:color w:val="000000"/>
                <w:sz w:val="20"/>
                <w:lang w:val="uk-UA" w:eastAsia="uk-UA"/>
              </w:rPr>
              <w:t>чо-юнацького,  масового спорту є проведення широкого комплексу фізкульту</w:t>
            </w:r>
            <w:r w:rsidRPr="00EC2DC7">
              <w:rPr>
                <w:rStyle w:val="2"/>
                <w:rFonts w:ascii="Times New Roman" w:hAnsi="Times New Roman"/>
                <w:color w:val="000000"/>
                <w:sz w:val="20"/>
                <w:lang w:val="uk-UA" w:eastAsia="uk-UA"/>
              </w:rPr>
              <w:t>р</w:t>
            </w:r>
            <w:r w:rsidRPr="00EC2DC7">
              <w:rPr>
                <w:rStyle w:val="2"/>
                <w:rFonts w:ascii="Times New Roman" w:hAnsi="Times New Roman"/>
                <w:color w:val="000000"/>
                <w:sz w:val="20"/>
                <w:lang w:val="uk-UA" w:eastAsia="uk-UA"/>
              </w:rPr>
              <w:t>но-оздоровчих заходів, спортивних змагань</w:t>
            </w:r>
            <w:r w:rsidRPr="00EC2DC7">
              <w:rPr>
                <w:rStyle w:val="2"/>
                <w:rFonts w:ascii="Times New Roman" w:hAnsi="Times New Roman"/>
                <w:color w:val="000000"/>
                <w:sz w:val="20"/>
                <w:lang w:val="ru-RU" w:eastAsia="uk-UA"/>
              </w:rPr>
              <w:t xml:space="preserve">. </w:t>
            </w:r>
            <w:r w:rsidRPr="00EC2DC7">
              <w:rPr>
                <w:rStyle w:val="2"/>
                <w:rFonts w:ascii="Times New Roman" w:hAnsi="Times New Roman"/>
                <w:color w:val="000000"/>
                <w:sz w:val="20"/>
                <w:lang w:val="uk-UA" w:eastAsia="uk-UA"/>
              </w:rPr>
              <w:t>Найбільш масовими були обла</w:t>
            </w:r>
            <w:r w:rsidRPr="00EC2DC7">
              <w:rPr>
                <w:rStyle w:val="2"/>
                <w:rFonts w:ascii="Times New Roman" w:hAnsi="Times New Roman"/>
                <w:color w:val="000000"/>
                <w:sz w:val="20"/>
                <w:lang w:val="uk-UA" w:eastAsia="uk-UA"/>
              </w:rPr>
              <w:t>с</w:t>
            </w:r>
            <w:r w:rsidRPr="00EC2DC7">
              <w:rPr>
                <w:rStyle w:val="2"/>
                <w:rFonts w:ascii="Times New Roman" w:hAnsi="Times New Roman"/>
                <w:color w:val="000000"/>
                <w:sz w:val="20"/>
                <w:lang w:val="uk-UA" w:eastAsia="uk-UA"/>
              </w:rPr>
              <w:t>ні змагання з футболу «Шкіряний м’яч», які проведено в чотири ет</w:t>
            </w:r>
            <w:r w:rsidRPr="00EC2DC7">
              <w:rPr>
                <w:rStyle w:val="2"/>
                <w:rFonts w:ascii="Times New Roman" w:hAnsi="Times New Roman"/>
                <w:color w:val="000000"/>
                <w:sz w:val="20"/>
                <w:lang w:val="uk-UA" w:eastAsia="uk-UA"/>
              </w:rPr>
              <w:t>а</w:t>
            </w:r>
            <w:r w:rsidRPr="00EC2DC7">
              <w:rPr>
                <w:rStyle w:val="2"/>
                <w:rFonts w:ascii="Times New Roman" w:hAnsi="Times New Roman"/>
                <w:color w:val="000000"/>
                <w:sz w:val="20"/>
                <w:lang w:val="uk-UA" w:eastAsia="uk-UA"/>
              </w:rPr>
              <w:t>пи серед чотирьох вікових груп з рек</w:t>
            </w:r>
            <w:r w:rsidRPr="00EC2DC7">
              <w:rPr>
                <w:rStyle w:val="2"/>
                <w:rFonts w:ascii="Times New Roman" w:hAnsi="Times New Roman"/>
                <w:color w:val="000000"/>
                <w:sz w:val="20"/>
                <w:lang w:val="uk-UA" w:eastAsia="uk-UA"/>
              </w:rPr>
              <w:t>о</w:t>
            </w:r>
            <w:r w:rsidRPr="00EC2DC7">
              <w:rPr>
                <w:rStyle w:val="2"/>
                <w:rFonts w:ascii="Times New Roman" w:hAnsi="Times New Roman"/>
                <w:color w:val="000000"/>
                <w:sz w:val="20"/>
                <w:lang w:val="uk-UA" w:eastAsia="uk-UA"/>
              </w:rPr>
              <w:t>рдною кіл</w:t>
            </w:r>
            <w:r w:rsidRPr="00EC2DC7">
              <w:rPr>
                <w:rStyle w:val="2"/>
                <w:rFonts w:ascii="Times New Roman" w:hAnsi="Times New Roman"/>
                <w:color w:val="000000"/>
                <w:sz w:val="20"/>
                <w:lang w:val="uk-UA" w:eastAsia="uk-UA"/>
              </w:rPr>
              <w:t>ь</w:t>
            </w:r>
            <w:r w:rsidRPr="00EC2DC7">
              <w:rPr>
                <w:rStyle w:val="2"/>
                <w:rFonts w:ascii="Times New Roman" w:hAnsi="Times New Roman"/>
                <w:color w:val="000000"/>
                <w:sz w:val="20"/>
                <w:lang w:val="uk-UA" w:eastAsia="uk-UA"/>
              </w:rPr>
              <w:t>кістю уча</w:t>
            </w:r>
            <w:r w:rsidRPr="00EC2DC7">
              <w:rPr>
                <w:rStyle w:val="2"/>
                <w:rFonts w:ascii="Times New Roman" w:hAnsi="Times New Roman"/>
                <w:color w:val="000000"/>
                <w:sz w:val="20"/>
                <w:lang w:val="uk-UA" w:eastAsia="uk-UA"/>
              </w:rPr>
              <w:t>с</w:t>
            </w:r>
            <w:r w:rsidRPr="00EC2DC7">
              <w:rPr>
                <w:rStyle w:val="2"/>
                <w:rFonts w:ascii="Times New Roman" w:hAnsi="Times New Roman"/>
                <w:color w:val="000000"/>
                <w:sz w:val="20"/>
                <w:lang w:val="uk-UA" w:eastAsia="uk-UA"/>
              </w:rPr>
              <w:t>ників (п</w:t>
            </w:r>
            <w:r w:rsidRPr="00EC2DC7">
              <w:rPr>
                <w:rStyle w:val="2"/>
                <w:rFonts w:ascii="Times New Roman" w:hAnsi="Times New Roman"/>
                <w:color w:val="000000"/>
                <w:sz w:val="20"/>
                <w:lang w:val="uk-UA" w:eastAsia="uk-UA"/>
              </w:rPr>
              <w:t>о</w:t>
            </w:r>
            <w:r w:rsidRPr="00EC2DC7">
              <w:rPr>
                <w:rStyle w:val="2"/>
                <w:rFonts w:ascii="Times New Roman" w:hAnsi="Times New Roman"/>
                <w:color w:val="000000"/>
                <w:sz w:val="20"/>
                <w:lang w:val="uk-UA" w:eastAsia="uk-UA"/>
              </w:rPr>
              <w:t>над 7,5 тис. футболістів із 576 к</w:t>
            </w:r>
            <w:r w:rsidRPr="00EC2DC7">
              <w:rPr>
                <w:rStyle w:val="2"/>
                <w:rFonts w:ascii="Times New Roman" w:hAnsi="Times New Roman"/>
                <w:color w:val="000000"/>
                <w:sz w:val="20"/>
                <w:lang w:val="uk-UA" w:eastAsia="uk-UA"/>
              </w:rPr>
              <w:t>о</w:t>
            </w:r>
            <w:r w:rsidRPr="00EC2DC7">
              <w:rPr>
                <w:rStyle w:val="2"/>
                <w:rFonts w:ascii="Times New Roman" w:hAnsi="Times New Roman"/>
                <w:color w:val="000000"/>
                <w:sz w:val="20"/>
                <w:lang w:val="uk-UA" w:eastAsia="uk-UA"/>
              </w:rPr>
              <w:t>манд).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2212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Забезпече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 розвитку та збер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ження 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нуючої  мережі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кладів культури, мистецтв та музейної справи пр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стору обл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сті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2016-2017 року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Програма економі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 соц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ального та культу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кої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ті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Кількість  основних закладів культури та мистецтв: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 театри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 музеї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 бібліотеки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 демо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стра-тори фільмів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 клубні заклади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989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438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989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856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Заходи з програми економі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 соці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льного та економі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 розв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тку Херсо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ської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ті та Пр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грами кул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тури та 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ховності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4387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Забезпече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 якісно нового зм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сту роботи бібліотек для повн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цінного задоволення інформ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ційних 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треб нас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лення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2016-2017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Програма економі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 соц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ального та культу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кої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ті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В області запланов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 реаліз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цію проекту щодо ств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рення 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режі біблі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тек з публ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чним 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 xml:space="preserve">ступом до Інтернету в </w:t>
            </w:r>
            <w:r w:rsidRPr="00EC2DC7">
              <w:rPr>
                <w:rFonts w:ascii="Times New Roman" w:hAnsi="Times New Roman"/>
                <w:sz w:val="20"/>
                <w:szCs w:val="20"/>
                <w:lang w:eastAsia="it-IT"/>
              </w:rPr>
              <w:t>Генічес</w:t>
            </w:r>
            <w:r w:rsidRPr="00EC2DC7">
              <w:rPr>
                <w:rFonts w:ascii="Times New Roman" w:hAnsi="Times New Roman"/>
                <w:sz w:val="20"/>
                <w:szCs w:val="20"/>
                <w:lang w:eastAsia="it-IT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  <w:lang w:eastAsia="it-IT"/>
              </w:rPr>
              <w:t>кому, Вер</w:t>
            </w:r>
            <w:r w:rsidRPr="00EC2DC7">
              <w:rPr>
                <w:rFonts w:ascii="Times New Roman" w:hAnsi="Times New Roman"/>
                <w:sz w:val="20"/>
                <w:szCs w:val="20"/>
                <w:lang w:eastAsia="it-IT"/>
              </w:rPr>
              <w:t>х</w:t>
            </w:r>
            <w:r w:rsidRPr="00EC2DC7">
              <w:rPr>
                <w:rFonts w:ascii="Times New Roman" w:hAnsi="Times New Roman"/>
                <w:sz w:val="20"/>
                <w:szCs w:val="20"/>
                <w:lang w:eastAsia="it-IT"/>
              </w:rPr>
              <w:t>ньорогач</w:t>
            </w:r>
            <w:r w:rsidRPr="00EC2DC7">
              <w:rPr>
                <w:rFonts w:ascii="Times New Roman" w:hAnsi="Times New Roman"/>
                <w:sz w:val="20"/>
                <w:szCs w:val="20"/>
                <w:lang w:eastAsia="it-IT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  <w:lang w:eastAsia="it-IT"/>
              </w:rPr>
              <w:t>цькому, Висок</w:t>
            </w:r>
            <w:r w:rsidRPr="00EC2DC7">
              <w:rPr>
                <w:rFonts w:ascii="Times New Roman" w:hAnsi="Times New Roman"/>
                <w:sz w:val="20"/>
                <w:szCs w:val="20"/>
                <w:lang w:eastAsia="it-IT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  <w:lang w:eastAsia="it-IT"/>
              </w:rPr>
              <w:t>пільському районах, який пере</w:t>
            </w:r>
            <w:r w:rsidRPr="00EC2DC7">
              <w:rPr>
                <w:rFonts w:ascii="Times New Roman" w:hAnsi="Times New Roman"/>
                <w:sz w:val="20"/>
                <w:szCs w:val="20"/>
                <w:lang w:eastAsia="it-IT"/>
              </w:rPr>
              <w:t>д</w:t>
            </w:r>
            <w:r w:rsidRPr="00EC2DC7">
              <w:rPr>
                <w:rFonts w:ascii="Times New Roman" w:hAnsi="Times New Roman"/>
                <w:sz w:val="20"/>
                <w:szCs w:val="20"/>
                <w:lang w:eastAsia="it-IT"/>
              </w:rPr>
              <w:t>бачає утв</w:t>
            </w:r>
            <w:r w:rsidRPr="00EC2DC7">
              <w:rPr>
                <w:rFonts w:ascii="Times New Roman" w:hAnsi="Times New Roman"/>
                <w:sz w:val="20"/>
                <w:szCs w:val="20"/>
                <w:lang w:eastAsia="it-IT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  <w:lang w:eastAsia="it-IT"/>
              </w:rPr>
              <w:t>рення інф</w:t>
            </w:r>
            <w:r w:rsidRPr="00EC2DC7">
              <w:rPr>
                <w:rFonts w:ascii="Times New Roman" w:hAnsi="Times New Roman"/>
                <w:sz w:val="20"/>
                <w:szCs w:val="20"/>
                <w:lang w:eastAsia="it-IT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  <w:lang w:eastAsia="it-IT"/>
              </w:rPr>
              <w:t>рмаційно-ресурсних центрів та пунктів к</w:t>
            </w:r>
            <w:r w:rsidRPr="00EC2DC7">
              <w:rPr>
                <w:rFonts w:ascii="Times New Roman" w:hAnsi="Times New Roman"/>
                <w:sz w:val="20"/>
                <w:szCs w:val="20"/>
                <w:lang w:eastAsia="it-IT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  <w:lang w:eastAsia="it-IT"/>
              </w:rPr>
              <w:t>нтактного доступу до публічної інформації на базі р</w:t>
            </w:r>
            <w:r w:rsidRPr="00EC2DC7">
              <w:rPr>
                <w:rFonts w:ascii="Times New Roman" w:hAnsi="Times New Roman"/>
                <w:sz w:val="20"/>
                <w:szCs w:val="20"/>
                <w:lang w:eastAsia="it-IT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  <w:lang w:eastAsia="it-IT"/>
              </w:rPr>
              <w:t>йонних бі</w:t>
            </w:r>
            <w:r w:rsidRPr="00EC2DC7">
              <w:rPr>
                <w:rFonts w:ascii="Times New Roman" w:hAnsi="Times New Roman"/>
                <w:sz w:val="20"/>
                <w:szCs w:val="20"/>
                <w:lang w:eastAsia="it-IT"/>
              </w:rPr>
              <w:t>б</w:t>
            </w:r>
            <w:r w:rsidRPr="00EC2DC7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ліотек та не менше </w:t>
            </w:r>
            <w:r w:rsidRPr="00EC2DC7">
              <w:rPr>
                <w:rFonts w:ascii="Times New Roman" w:hAnsi="Times New Roman"/>
                <w:sz w:val="20"/>
                <w:szCs w:val="20"/>
                <w:lang w:eastAsia="uk-UA"/>
              </w:rPr>
              <w:t>ніж 9 сільських бібліотек. Наразі в</w:t>
            </w:r>
            <w:r w:rsidRPr="00EC2DC7">
              <w:rPr>
                <w:rFonts w:ascii="Times New Roman" w:hAnsi="Times New Roman"/>
                <w:sz w:val="20"/>
                <w:szCs w:val="20"/>
                <w:lang w:eastAsia="uk-UA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  <w:lang w:eastAsia="uk-UA"/>
              </w:rPr>
              <w:t>рішується питання щодо сп</w:t>
            </w:r>
            <w:r w:rsidRPr="00EC2DC7">
              <w:rPr>
                <w:rFonts w:ascii="Times New Roman" w:hAnsi="Times New Roman"/>
                <w:sz w:val="20"/>
                <w:szCs w:val="20"/>
                <w:lang w:eastAsia="uk-UA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  <w:lang w:eastAsia="uk-UA"/>
              </w:rPr>
              <w:t>вфінанс</w:t>
            </w:r>
            <w:r w:rsidRPr="00EC2DC7">
              <w:rPr>
                <w:rFonts w:ascii="Times New Roman" w:hAnsi="Times New Roman"/>
                <w:sz w:val="20"/>
                <w:szCs w:val="20"/>
                <w:lang w:eastAsia="uk-UA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  <w:lang w:eastAsia="uk-UA"/>
              </w:rPr>
              <w:t>вання про</w:t>
            </w:r>
            <w:r w:rsidRPr="00EC2DC7">
              <w:rPr>
                <w:rFonts w:ascii="Times New Roman" w:hAnsi="Times New Roman"/>
                <w:sz w:val="20"/>
                <w:szCs w:val="20"/>
                <w:lang w:eastAsia="uk-UA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  <w:lang w:eastAsia="uk-UA"/>
              </w:rPr>
              <w:t>кту з місц</w:t>
            </w:r>
            <w:r w:rsidRPr="00EC2DC7">
              <w:rPr>
                <w:rFonts w:ascii="Times New Roman" w:hAnsi="Times New Roman"/>
                <w:sz w:val="20"/>
                <w:szCs w:val="20"/>
                <w:lang w:eastAsia="uk-UA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  <w:lang w:eastAsia="uk-UA"/>
              </w:rPr>
              <w:t>вих бюдж</w:t>
            </w:r>
            <w:r w:rsidRPr="00EC2DC7">
              <w:rPr>
                <w:rFonts w:ascii="Times New Roman" w:hAnsi="Times New Roman"/>
                <w:sz w:val="20"/>
                <w:szCs w:val="20"/>
                <w:lang w:eastAsia="uk-UA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  <w:lang w:eastAsia="uk-UA"/>
              </w:rPr>
              <w:t>тів та п</w:t>
            </w:r>
            <w:r w:rsidRPr="00EC2DC7">
              <w:rPr>
                <w:rFonts w:ascii="Times New Roman" w:hAnsi="Times New Roman"/>
                <w:sz w:val="20"/>
                <w:szCs w:val="20"/>
                <w:lang w:eastAsia="uk-UA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  <w:lang w:eastAsia="uk-UA"/>
              </w:rPr>
              <w:t>шуку інших джерел ф</w:t>
            </w:r>
            <w:r w:rsidRPr="00EC2DC7">
              <w:rPr>
                <w:rFonts w:ascii="Times New Roman" w:hAnsi="Times New Roman"/>
                <w:sz w:val="20"/>
                <w:szCs w:val="20"/>
                <w:lang w:eastAsia="uk-UA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  <w:lang w:eastAsia="uk-UA"/>
              </w:rPr>
              <w:t>нансування.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228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17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2DC7">
              <w:rPr>
                <w:rFonts w:ascii="Times New Roman" w:hAnsi="Times New Roman"/>
                <w:b/>
                <w:sz w:val="20"/>
                <w:szCs w:val="20"/>
              </w:rPr>
              <w:t>2.4.17. Надання якісних послуг транспорту та зв’язку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1410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Поліпшення якості 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дання авт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транспор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 послуг для забе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печення потреб ек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номіки, так і доступу населення до послуг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2016-2017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Програма економі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 соц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ального та культу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Хер-сон-ської 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ласті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131C8" w:rsidRPr="00EC2DC7" w:rsidRDefault="00A131C8" w:rsidP="00EC2DC7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 початку літнього сезону д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датково відкрито понад 30 щоденних сезонних автобусних маршрутів міжміськ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го та мі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ж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обласного сполучення (Харків – Стрілкове; Нікополь – Скадовськ; Дніпродз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ржинськ – Скадовськ - Залізний Порт; Херсон – Щасливц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ве, Стрілк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ве, Лазурне, Залізний Порт, Біл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ь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шовик; Скадовськ – Київ; Ген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і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чеськ – Стрілкове.  </w:t>
            </w:r>
          </w:p>
          <w:p w:rsidR="00A131C8" w:rsidRPr="00EC2DC7" w:rsidRDefault="00A131C8" w:rsidP="00EC2DC7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Забезпечено безпере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кодний д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ступ до приміщень автостанцій та автово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залів обла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ті шляхом облашт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вання ві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повідних пандусів.</w:t>
            </w:r>
          </w:p>
          <w:p w:rsidR="00A131C8" w:rsidRPr="00EC2DC7" w:rsidRDefault="00A131C8" w:rsidP="00EC2DC7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 всіх а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товокзалах та автост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нціях обл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сті визнач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ні праці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ники, на яких покл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дені функції з надання допомоги особам з обмежен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ми фізи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ними мо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ж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ливостями під час п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ребування на автост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нціях, вст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новлені кнопки в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клику пр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цівника автостанції для надання інвалідам необхідної допомоги.</w:t>
            </w:r>
          </w:p>
          <w:p w:rsidR="00A131C8" w:rsidRPr="00EC2DC7" w:rsidRDefault="00A131C8" w:rsidP="00EC2DC7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Телефони-автомати на Херсонс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кому авт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вокзалі, Херсонс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кій прим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ській авт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станції ро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ташовані в місцях, д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ступних для інвалідів. </w:t>
            </w:r>
          </w:p>
          <w:p w:rsidR="00A131C8" w:rsidRPr="00EC2DC7" w:rsidRDefault="00A131C8" w:rsidP="00EC2DC7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 автост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янках п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близу авт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станцій п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редбачено місця для транспорту інвалідів. Плата за паркування з інвалідів не стягуєт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ь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ся.</w:t>
            </w:r>
          </w:p>
          <w:p w:rsidR="00A131C8" w:rsidRPr="00EC2DC7" w:rsidRDefault="00A131C8" w:rsidP="00EC2DC7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Для перев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зення осіб з обмежен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ми фізи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ними мо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ливостями пристос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вано 8 а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тобусів та придбано 2 нових авт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color w:val="000000"/>
                <w:sz w:val="20"/>
                <w:szCs w:val="20"/>
              </w:rPr>
              <w:t>буси.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281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17"/>
          </w:tcPr>
          <w:p w:rsidR="00A131C8" w:rsidRPr="00EC2DC7" w:rsidRDefault="00A131C8" w:rsidP="00EC2DC7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2DC7">
              <w:rPr>
                <w:rFonts w:ascii="Times New Roman" w:hAnsi="Times New Roman"/>
                <w:b/>
                <w:sz w:val="20"/>
                <w:szCs w:val="20"/>
              </w:rPr>
              <w:t>2.4.18. Надання якісних житлово-комунальних послуг, забезпечення житлом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1410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Будівниц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во та реко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струкція водозабі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 споруд із застос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ванням 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вітніх те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нологій та обладнання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bCs/>
                <w:sz w:val="20"/>
                <w:szCs w:val="20"/>
              </w:rPr>
              <w:t>Рішення обласної ради від 10.05.2012 №472 "Про о</w:t>
            </w:r>
            <w:r w:rsidRPr="00EC2DC7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EC2DC7">
              <w:rPr>
                <w:rFonts w:ascii="Times New Roman" w:hAnsi="Times New Roman"/>
                <w:bCs/>
                <w:sz w:val="20"/>
                <w:szCs w:val="20"/>
              </w:rPr>
              <w:t>ласну програму "Питна вода Херсо</w:t>
            </w:r>
            <w:r w:rsidRPr="00EC2DC7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bCs/>
                <w:sz w:val="20"/>
                <w:szCs w:val="20"/>
              </w:rPr>
              <w:t>щини на 2012-2020 роки</w:t>
            </w: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45987,2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9783,6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37600,38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21685,79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Кількість побудов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 та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конструй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ваних вод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забірних споруд, од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6" w:type="dxa"/>
            <w:gridSpan w:val="3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-27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Реконстр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кцію вод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забірних споруд пр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ведено у: м.Херсоні –</w:t>
            </w:r>
          </w:p>
          <w:p w:rsidR="00A131C8" w:rsidRPr="00EC2DC7" w:rsidRDefault="00A131C8" w:rsidP="00EC2D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 xml:space="preserve"> 6 од,</w:t>
            </w:r>
          </w:p>
          <w:p w:rsidR="00A131C8" w:rsidRPr="00EC2DC7" w:rsidRDefault="00A131C8" w:rsidP="00EC2D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 xml:space="preserve">м.Н.Кахов-ка – 2 од, </w:t>
            </w:r>
          </w:p>
          <w:p w:rsidR="00A131C8" w:rsidRPr="00EC2DC7" w:rsidRDefault="00A131C8" w:rsidP="00EC2D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м.Каховка – 1 од</w:t>
            </w:r>
          </w:p>
          <w:p w:rsidR="00A131C8" w:rsidRPr="00EC2DC7" w:rsidRDefault="00A131C8" w:rsidP="00EC2D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Білозерс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кому р-ні – 1 од;</w:t>
            </w:r>
          </w:p>
          <w:p w:rsidR="00A131C8" w:rsidRPr="00EC2DC7" w:rsidRDefault="00A131C8" w:rsidP="00EC2D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Берисла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ському – 1 од</w:t>
            </w:r>
          </w:p>
          <w:p w:rsidR="00A131C8" w:rsidRPr="00EC2DC7" w:rsidRDefault="00A131C8" w:rsidP="00EC2D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Висок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пільському – 2 од</w:t>
            </w:r>
          </w:p>
          <w:p w:rsidR="00A131C8" w:rsidRPr="00EC2DC7" w:rsidRDefault="00A131C8" w:rsidP="00EC2D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Генічес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кому – 3 од</w:t>
            </w:r>
          </w:p>
          <w:p w:rsidR="00A131C8" w:rsidRPr="00EC2DC7" w:rsidRDefault="00A131C8" w:rsidP="00EC2D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Горностаї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ському – 1 од</w:t>
            </w:r>
          </w:p>
          <w:p w:rsidR="00A131C8" w:rsidRPr="00EC2DC7" w:rsidRDefault="00A131C8" w:rsidP="00EC2D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Каховськ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му – 1 од</w:t>
            </w:r>
          </w:p>
          <w:p w:rsidR="00A131C8" w:rsidRPr="00EC2DC7" w:rsidRDefault="00A131C8" w:rsidP="00EC2D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Каланчац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кому – 1 од</w:t>
            </w:r>
          </w:p>
          <w:p w:rsidR="00A131C8" w:rsidRPr="00EC2DC7" w:rsidRDefault="00A131C8" w:rsidP="00EC2D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Нижньос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рогозькому – 1 од</w:t>
            </w:r>
          </w:p>
          <w:p w:rsidR="00A131C8" w:rsidRPr="00EC2DC7" w:rsidRDefault="00A131C8" w:rsidP="00EC2D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Новотро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ї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цькому – 1 од</w:t>
            </w:r>
          </w:p>
          <w:p w:rsidR="00A131C8" w:rsidRPr="00EC2DC7" w:rsidRDefault="00A131C8" w:rsidP="00EC2D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Нововоро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цовському – 1 од</w:t>
            </w:r>
          </w:p>
          <w:p w:rsidR="00A131C8" w:rsidRPr="00EC2DC7" w:rsidRDefault="00A131C8" w:rsidP="00EC2D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Скадовс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кому 1 – од</w:t>
            </w:r>
          </w:p>
          <w:p w:rsidR="00A131C8" w:rsidRPr="00EC2DC7" w:rsidRDefault="00A131C8" w:rsidP="00EC2DC7">
            <w:pPr>
              <w:pStyle w:val="st12"/>
              <w:spacing w:before="0" w:after="0"/>
              <w:contextualSpacing/>
              <w:jc w:val="left"/>
              <w:rPr>
                <w:sz w:val="20"/>
                <w:szCs w:val="20"/>
                <w:lang w:val="uk-UA"/>
              </w:rPr>
            </w:pPr>
            <w:r w:rsidRPr="00EC2DC7">
              <w:rPr>
                <w:sz w:val="20"/>
                <w:szCs w:val="20"/>
              </w:rPr>
              <w:t>Чаплинс</w:t>
            </w:r>
            <w:r w:rsidRPr="00EC2DC7">
              <w:rPr>
                <w:sz w:val="20"/>
                <w:szCs w:val="20"/>
              </w:rPr>
              <w:t>ь</w:t>
            </w:r>
            <w:r w:rsidRPr="00EC2DC7">
              <w:rPr>
                <w:sz w:val="20"/>
                <w:szCs w:val="20"/>
              </w:rPr>
              <w:t>кому – 1 од. районах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Програма не фінанс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ється з де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жавного бюджету</w:t>
            </w:r>
          </w:p>
        </w:tc>
      </w:tr>
      <w:tr w:rsidR="00A131C8" w:rsidTr="00EC2DC7">
        <w:trPr>
          <w:trHeight w:val="2212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Упорядк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вання зон санітарної охорони джерел 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тного вод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постачання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2017 рік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2DC7">
              <w:rPr>
                <w:rFonts w:ascii="Times New Roman" w:hAnsi="Times New Roman"/>
                <w:bCs/>
                <w:sz w:val="20"/>
                <w:szCs w:val="20"/>
              </w:rPr>
              <w:t>Рішення обласної ради від 10.05.2012 №472 "Про о</w:t>
            </w:r>
            <w:r w:rsidRPr="00EC2DC7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EC2DC7">
              <w:rPr>
                <w:rFonts w:ascii="Times New Roman" w:hAnsi="Times New Roman"/>
                <w:bCs/>
                <w:sz w:val="20"/>
                <w:szCs w:val="20"/>
              </w:rPr>
              <w:t>ласну програму "Питна вода Херсо</w:t>
            </w:r>
            <w:r w:rsidRPr="00EC2DC7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bCs/>
                <w:sz w:val="20"/>
                <w:szCs w:val="20"/>
              </w:rPr>
              <w:t>щини на 2012-2020 роки"</w:t>
            </w: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10993,96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2346,68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2238,38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506,59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Кількість упорядк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ваних зон,</w:t>
            </w:r>
          </w:p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од.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6" w:type="dxa"/>
            <w:gridSpan w:val="3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Упорядк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вання зон санітарної охорони джерел 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тного вод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постачання проведено у районах та містах:</w:t>
            </w:r>
          </w:p>
          <w:p w:rsidR="00A131C8" w:rsidRPr="00EC2DC7" w:rsidRDefault="00A131C8" w:rsidP="00EC2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В.Олександрівському – 1 од;</w:t>
            </w:r>
          </w:p>
          <w:p w:rsidR="00A131C8" w:rsidRPr="00EC2DC7" w:rsidRDefault="00A131C8" w:rsidP="00EC2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Генічес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кому – 1 од;</w:t>
            </w:r>
          </w:p>
          <w:p w:rsidR="00A131C8" w:rsidRPr="00EC2DC7" w:rsidRDefault="00A131C8" w:rsidP="00EC2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Каховськ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му – 1 од;</w:t>
            </w:r>
          </w:p>
          <w:p w:rsidR="00A131C8" w:rsidRPr="00EC2DC7" w:rsidRDefault="00A131C8" w:rsidP="00EC2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Скадовс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кому – 1 од;</w:t>
            </w:r>
          </w:p>
          <w:p w:rsidR="00A131C8" w:rsidRPr="00EC2DC7" w:rsidRDefault="00A131C8" w:rsidP="00EC2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Нижньос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рогозькому – 1 од;</w:t>
            </w:r>
          </w:p>
          <w:p w:rsidR="00A131C8" w:rsidRPr="00EC2DC7" w:rsidRDefault="00A131C8" w:rsidP="00EC2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 xml:space="preserve">м.Каховка 1 од; </w:t>
            </w:r>
          </w:p>
          <w:p w:rsidR="00A131C8" w:rsidRPr="00EC2DC7" w:rsidRDefault="00A131C8" w:rsidP="00EC2DC7">
            <w:pPr>
              <w:pStyle w:val="st12"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 w:rsidRPr="00EC2DC7">
              <w:rPr>
                <w:sz w:val="20"/>
                <w:szCs w:val="20"/>
              </w:rPr>
              <w:t>м.Гола Пристань – 1 од.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Програма не фінанс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ється з де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жавного бюджету</w:t>
            </w:r>
          </w:p>
        </w:tc>
      </w:tr>
      <w:tr w:rsidR="00A131C8" w:rsidTr="00EC2DC7">
        <w:trPr>
          <w:trHeight w:val="3111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Виконання програм  забезпече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 молоді житлом, будівництва (придбання доступного житла, зд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шевлення вартості іпотечних кредитів і впров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дження 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вітніх кр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дитно-фінансових механізмів)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2016-2017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Державна програма забезп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чення 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лоді жи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лом на 2013 – 2017 роки; Державна цільова соціально-економі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на пр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грама 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дівництва (придба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ня) дост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пного ж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тла на 2010 – 2017 роки; програма розвитку молоді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ж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 жи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лового кредит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вання в Хер-сон-ській 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ласті на 2006-2017 роки;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гіональна програма будівни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тва (пр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дбання) доступн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го житла у Хер-сон-ській 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ласті на 2010 – 2017 роки, програма розвитку житлового будівни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тва у м.Хер-соні на 2013-2017 роки, пр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грама 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дівництва (придба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ня) дост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пного ж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тла у м.Хер-соні на 2012-2017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ind w:left="-122" w:right="-92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37660</w:t>
            </w:r>
          </w:p>
          <w:p w:rsidR="00A131C8" w:rsidRPr="00EC2DC7" w:rsidRDefault="00A131C8" w:rsidP="00EC2DC7">
            <w:pPr>
              <w:spacing w:after="0" w:line="230" w:lineRule="auto"/>
              <w:ind w:left="-122" w:right="-92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ind w:left="-122" w:right="-92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20040,0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ind w:left="-122" w:right="-92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131186,66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ind w:left="-122" w:right="-92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6698,52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Кількість громадян, які  полі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шили жи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лові умови завдяки  новітнім кредитно-фінансовим  механізмам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pStyle w:val="st12"/>
              <w:spacing w:before="0" w:after="0"/>
              <w:rPr>
                <w:rStyle w:val="st82"/>
                <w:szCs w:val="20"/>
                <w:lang w:val="uk-UA"/>
              </w:rPr>
            </w:pPr>
            <w:r w:rsidRPr="00EC2DC7">
              <w:rPr>
                <w:rStyle w:val="st82"/>
                <w:szCs w:val="20"/>
                <w:lang w:val="uk-UA"/>
              </w:rPr>
              <w:t>600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pStyle w:val="st12"/>
              <w:spacing w:before="0" w:after="0"/>
              <w:rPr>
                <w:rStyle w:val="st82"/>
                <w:szCs w:val="20"/>
                <w:lang w:val="uk-UA"/>
              </w:rPr>
            </w:pPr>
            <w:r w:rsidRPr="00EC2DC7">
              <w:rPr>
                <w:rStyle w:val="st82"/>
                <w:szCs w:val="20"/>
                <w:lang w:val="uk-UA"/>
              </w:rPr>
              <w:t>355</w:t>
            </w:r>
          </w:p>
        </w:tc>
        <w:tc>
          <w:tcPr>
            <w:tcW w:w="856" w:type="dxa"/>
            <w:gridSpan w:val="3"/>
          </w:tcPr>
          <w:p w:rsidR="00A131C8" w:rsidRPr="00EC2DC7" w:rsidRDefault="00A131C8" w:rsidP="00EC2DC7">
            <w:pPr>
              <w:pStyle w:val="st12"/>
              <w:spacing w:before="0" w:after="0"/>
              <w:rPr>
                <w:rStyle w:val="st82"/>
                <w:szCs w:val="20"/>
                <w:lang w:val="uk-UA"/>
              </w:rPr>
            </w:pPr>
            <w:r w:rsidRPr="00EC2DC7">
              <w:rPr>
                <w:rStyle w:val="st82"/>
                <w:szCs w:val="20"/>
                <w:lang w:val="uk-UA"/>
              </w:rPr>
              <w:t>-245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pStyle w:val="a1"/>
              <w:ind w:firstLine="0"/>
              <w:rPr>
                <w:rStyle w:val="st82"/>
                <w:rFonts w:ascii="Times New Roman" w:hAnsi="Times New Roman"/>
              </w:rPr>
            </w:pPr>
            <w:r w:rsidRPr="00EC2DC7">
              <w:rPr>
                <w:rStyle w:val="st82"/>
                <w:rFonts w:ascii="Times New Roman" w:hAnsi="Times New Roman"/>
              </w:rPr>
              <w:t>Протягом   2017 року надано 16 пільгових кредитів (з них : 3 – учасникам АТО, 2 – молодим багатоді</w:t>
            </w:r>
            <w:r w:rsidRPr="00EC2DC7">
              <w:rPr>
                <w:rStyle w:val="st82"/>
                <w:rFonts w:ascii="Times New Roman" w:hAnsi="Times New Roman"/>
              </w:rPr>
              <w:t>т</w:t>
            </w:r>
            <w:r w:rsidRPr="00EC2DC7">
              <w:rPr>
                <w:rStyle w:val="st82"/>
                <w:rFonts w:ascii="Times New Roman" w:hAnsi="Times New Roman"/>
              </w:rPr>
              <w:t>ним род</w:t>
            </w:r>
            <w:r w:rsidRPr="00EC2DC7">
              <w:rPr>
                <w:rStyle w:val="st82"/>
                <w:rFonts w:ascii="Times New Roman" w:hAnsi="Times New Roman"/>
              </w:rPr>
              <w:t>и</w:t>
            </w:r>
            <w:r w:rsidRPr="00EC2DC7">
              <w:rPr>
                <w:rStyle w:val="st82"/>
                <w:rFonts w:ascii="Times New Roman" w:hAnsi="Times New Roman"/>
              </w:rPr>
              <w:t>нам) на б</w:t>
            </w:r>
            <w:r w:rsidRPr="00EC2DC7">
              <w:rPr>
                <w:rStyle w:val="st82"/>
                <w:rFonts w:ascii="Times New Roman" w:hAnsi="Times New Roman"/>
              </w:rPr>
              <w:t>у</w:t>
            </w:r>
            <w:r w:rsidRPr="00EC2DC7">
              <w:rPr>
                <w:rStyle w:val="st82"/>
                <w:rFonts w:ascii="Times New Roman" w:hAnsi="Times New Roman"/>
              </w:rPr>
              <w:t>дівництво квартир у ж/б №73 на 63 квартири площею 3791,1 кв м у IV Таврійському мікр</w:t>
            </w:r>
            <w:r w:rsidRPr="00EC2DC7">
              <w:rPr>
                <w:rStyle w:val="st82"/>
                <w:rFonts w:ascii="Times New Roman" w:hAnsi="Times New Roman"/>
              </w:rPr>
              <w:t>о</w:t>
            </w:r>
            <w:r w:rsidRPr="00EC2DC7">
              <w:rPr>
                <w:rStyle w:val="st82"/>
                <w:rFonts w:ascii="Times New Roman" w:hAnsi="Times New Roman"/>
              </w:rPr>
              <w:t>районі м. Херсона,  Ступінь будівельної готовності  ж/б №73 (2 пусковий комплекс)  – 81,7% (термін введення в експлуат</w:t>
            </w:r>
            <w:r w:rsidRPr="00EC2DC7">
              <w:rPr>
                <w:rStyle w:val="st82"/>
                <w:rFonts w:ascii="Times New Roman" w:hAnsi="Times New Roman"/>
              </w:rPr>
              <w:t>а</w:t>
            </w:r>
            <w:r w:rsidRPr="00EC2DC7">
              <w:rPr>
                <w:rStyle w:val="st82"/>
                <w:rFonts w:ascii="Times New Roman" w:hAnsi="Times New Roman"/>
              </w:rPr>
              <w:t>цію 2 ква</w:t>
            </w:r>
            <w:r w:rsidRPr="00EC2DC7">
              <w:rPr>
                <w:rStyle w:val="st82"/>
                <w:rFonts w:ascii="Times New Roman" w:hAnsi="Times New Roman"/>
              </w:rPr>
              <w:t>р</w:t>
            </w:r>
            <w:r w:rsidRPr="00EC2DC7">
              <w:rPr>
                <w:rStyle w:val="st82"/>
                <w:rFonts w:ascii="Times New Roman" w:hAnsi="Times New Roman"/>
              </w:rPr>
              <w:t xml:space="preserve">тал 2018 року). </w:t>
            </w:r>
          </w:p>
          <w:p w:rsidR="00A131C8" w:rsidRPr="00EC2DC7" w:rsidRDefault="00A131C8" w:rsidP="00EC2DC7">
            <w:pPr>
              <w:pStyle w:val="a1"/>
              <w:ind w:firstLine="0"/>
              <w:rPr>
                <w:rStyle w:val="st82"/>
                <w:rFonts w:ascii="Times New Roman" w:hAnsi="Times New Roman"/>
              </w:rPr>
            </w:pPr>
            <w:r w:rsidRPr="00EC2DC7">
              <w:rPr>
                <w:rStyle w:val="st82"/>
                <w:rFonts w:ascii="Times New Roman" w:hAnsi="Times New Roman"/>
              </w:rPr>
              <w:t>Розпочато будівництво  ж/б 34/4 -  ступінь б</w:t>
            </w:r>
            <w:r w:rsidRPr="00EC2DC7">
              <w:rPr>
                <w:rStyle w:val="st82"/>
                <w:rFonts w:ascii="Times New Roman" w:hAnsi="Times New Roman"/>
              </w:rPr>
              <w:t>у</w:t>
            </w:r>
            <w:r w:rsidRPr="00EC2DC7">
              <w:rPr>
                <w:rStyle w:val="st82"/>
                <w:rFonts w:ascii="Times New Roman" w:hAnsi="Times New Roman"/>
              </w:rPr>
              <w:t>дівельної готовності –20,2% (з</w:t>
            </w:r>
            <w:r w:rsidRPr="00EC2DC7">
              <w:rPr>
                <w:rStyle w:val="st82"/>
                <w:rFonts w:ascii="Times New Roman" w:hAnsi="Times New Roman"/>
              </w:rPr>
              <w:t>а</w:t>
            </w:r>
            <w:r w:rsidRPr="00EC2DC7">
              <w:rPr>
                <w:rStyle w:val="st82"/>
                <w:rFonts w:ascii="Times New Roman" w:hAnsi="Times New Roman"/>
              </w:rPr>
              <w:t>планований термін вв</w:t>
            </w:r>
            <w:r w:rsidRPr="00EC2DC7">
              <w:rPr>
                <w:rStyle w:val="st82"/>
                <w:rFonts w:ascii="Times New Roman" w:hAnsi="Times New Roman"/>
              </w:rPr>
              <w:t>е</w:t>
            </w:r>
            <w:r w:rsidRPr="00EC2DC7">
              <w:rPr>
                <w:rStyle w:val="st82"/>
                <w:rFonts w:ascii="Times New Roman" w:hAnsi="Times New Roman"/>
              </w:rPr>
              <w:t>дення в експлуат</w:t>
            </w:r>
            <w:r w:rsidRPr="00EC2DC7">
              <w:rPr>
                <w:rStyle w:val="st82"/>
                <w:rFonts w:ascii="Times New Roman" w:hAnsi="Times New Roman"/>
              </w:rPr>
              <w:t>а</w:t>
            </w:r>
            <w:r w:rsidRPr="00EC2DC7">
              <w:rPr>
                <w:rStyle w:val="st82"/>
                <w:rFonts w:ascii="Times New Roman" w:hAnsi="Times New Roman"/>
              </w:rPr>
              <w:t>цію – 4 кв</w:t>
            </w:r>
            <w:r w:rsidRPr="00EC2DC7">
              <w:rPr>
                <w:rStyle w:val="st82"/>
                <w:rFonts w:ascii="Times New Roman" w:hAnsi="Times New Roman"/>
              </w:rPr>
              <w:t>а</w:t>
            </w:r>
            <w:r w:rsidRPr="00EC2DC7">
              <w:rPr>
                <w:rStyle w:val="st82"/>
                <w:rFonts w:ascii="Times New Roman" w:hAnsi="Times New Roman"/>
              </w:rPr>
              <w:t>ртал 2018 року) та 34/3 - ст</w:t>
            </w:r>
            <w:r w:rsidRPr="00EC2DC7">
              <w:rPr>
                <w:rStyle w:val="st82"/>
                <w:rFonts w:ascii="Times New Roman" w:hAnsi="Times New Roman"/>
              </w:rPr>
              <w:t>у</w:t>
            </w:r>
            <w:r w:rsidRPr="00EC2DC7">
              <w:rPr>
                <w:rStyle w:val="st82"/>
                <w:rFonts w:ascii="Times New Roman" w:hAnsi="Times New Roman"/>
              </w:rPr>
              <w:t>пінь будів</w:t>
            </w:r>
            <w:r w:rsidRPr="00EC2DC7">
              <w:rPr>
                <w:rStyle w:val="st82"/>
                <w:rFonts w:ascii="Times New Roman" w:hAnsi="Times New Roman"/>
              </w:rPr>
              <w:t>е</w:t>
            </w:r>
            <w:r w:rsidRPr="00EC2DC7">
              <w:rPr>
                <w:rStyle w:val="st82"/>
                <w:rFonts w:ascii="Times New Roman" w:hAnsi="Times New Roman"/>
              </w:rPr>
              <w:t>льної гот</w:t>
            </w:r>
            <w:r w:rsidRPr="00EC2DC7">
              <w:rPr>
                <w:rStyle w:val="st82"/>
                <w:rFonts w:ascii="Times New Roman" w:hAnsi="Times New Roman"/>
              </w:rPr>
              <w:t>о</w:t>
            </w:r>
            <w:r w:rsidRPr="00EC2DC7">
              <w:rPr>
                <w:rStyle w:val="st82"/>
                <w:rFonts w:ascii="Times New Roman" w:hAnsi="Times New Roman"/>
              </w:rPr>
              <w:t>вності –7,2% (з</w:t>
            </w:r>
            <w:r w:rsidRPr="00EC2DC7">
              <w:rPr>
                <w:rStyle w:val="st82"/>
                <w:rFonts w:ascii="Times New Roman" w:hAnsi="Times New Roman"/>
              </w:rPr>
              <w:t>а</w:t>
            </w:r>
            <w:r w:rsidRPr="00EC2DC7">
              <w:rPr>
                <w:rStyle w:val="st82"/>
                <w:rFonts w:ascii="Times New Roman" w:hAnsi="Times New Roman"/>
              </w:rPr>
              <w:t>планований термін вв</w:t>
            </w:r>
            <w:r w:rsidRPr="00EC2DC7">
              <w:rPr>
                <w:rStyle w:val="st82"/>
                <w:rFonts w:ascii="Times New Roman" w:hAnsi="Times New Roman"/>
              </w:rPr>
              <w:t>е</w:t>
            </w:r>
            <w:r w:rsidRPr="00EC2DC7">
              <w:rPr>
                <w:rStyle w:val="st82"/>
                <w:rFonts w:ascii="Times New Roman" w:hAnsi="Times New Roman"/>
              </w:rPr>
              <w:t>дення в експлуат</w:t>
            </w:r>
            <w:r w:rsidRPr="00EC2DC7">
              <w:rPr>
                <w:rStyle w:val="st82"/>
                <w:rFonts w:ascii="Times New Roman" w:hAnsi="Times New Roman"/>
              </w:rPr>
              <w:t>а</w:t>
            </w:r>
            <w:r w:rsidRPr="00EC2DC7">
              <w:rPr>
                <w:rStyle w:val="st82"/>
                <w:rFonts w:ascii="Times New Roman" w:hAnsi="Times New Roman"/>
              </w:rPr>
              <w:t>цію – 4 кв</w:t>
            </w:r>
            <w:r w:rsidRPr="00EC2DC7">
              <w:rPr>
                <w:rStyle w:val="st82"/>
                <w:rFonts w:ascii="Times New Roman" w:hAnsi="Times New Roman"/>
              </w:rPr>
              <w:t>а</w:t>
            </w:r>
            <w:r w:rsidRPr="00EC2DC7">
              <w:rPr>
                <w:rStyle w:val="st82"/>
                <w:rFonts w:ascii="Times New Roman" w:hAnsi="Times New Roman"/>
              </w:rPr>
              <w:t>ртал 2019 року) в 4А Таврійс</w:t>
            </w:r>
            <w:r w:rsidRPr="00EC2DC7">
              <w:rPr>
                <w:rStyle w:val="st82"/>
                <w:rFonts w:ascii="Times New Roman" w:hAnsi="Times New Roman"/>
              </w:rPr>
              <w:t>ь</w:t>
            </w:r>
            <w:r w:rsidRPr="00EC2DC7">
              <w:rPr>
                <w:rStyle w:val="st82"/>
                <w:rFonts w:ascii="Times New Roman" w:hAnsi="Times New Roman"/>
              </w:rPr>
              <w:t>кому мікр</w:t>
            </w:r>
            <w:r w:rsidRPr="00EC2DC7">
              <w:rPr>
                <w:rStyle w:val="st82"/>
                <w:rFonts w:ascii="Times New Roman" w:hAnsi="Times New Roman"/>
              </w:rPr>
              <w:t>о</w:t>
            </w:r>
            <w:r w:rsidRPr="00EC2DC7">
              <w:rPr>
                <w:rStyle w:val="st82"/>
                <w:rFonts w:ascii="Times New Roman" w:hAnsi="Times New Roman"/>
              </w:rPr>
              <w:t>районі.</w:t>
            </w:r>
          </w:p>
          <w:p w:rsidR="00A131C8" w:rsidRPr="00EC2DC7" w:rsidRDefault="00A131C8" w:rsidP="00EC2DC7">
            <w:pPr>
              <w:pStyle w:val="a1"/>
              <w:ind w:firstLine="0"/>
              <w:rPr>
                <w:rStyle w:val="st82"/>
                <w:rFonts w:ascii="Times New Roman" w:hAnsi="Times New Roman"/>
              </w:rPr>
            </w:pP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Низький рівень ф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нансування пільгових програм з місцевих бюджетів, відсутність фінанс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вання з державного бюджету</w:t>
            </w:r>
          </w:p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1C8" w:rsidTr="00EC2DC7">
        <w:trPr>
          <w:trHeight w:val="2212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Впров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дження 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лотного проекту комплек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ної забуд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 4-Б Та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рійського мікрорай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ну міста Херсона, з характери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тиками 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ціополісу і соціотехн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полісу  (ж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тлового мікрорай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ну, у першу чергу для людей з особливими потребами, інвалідів та учасників АТО)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2016-2017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План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ходів з реалізації у 2016-2017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ках стр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тегії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Хер-сон-ської 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ласті на період до 2020 року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ind w:left="-113" w:right="-113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60000,0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ind w:left="-113" w:right="-113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35000,0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ind w:left="-113" w:right="-113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pacing w:val="-2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Учасникам АТО у 4-Таврійс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кому мікр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районі міста Херсона під індивіду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льну заб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дову вид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лено 251 земельну ділянку. За кошти міс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кого 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ю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джету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роблено проект та розпочато роботи з будівництва інженерних мереж та споруд (в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допост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чання та водовідв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дення).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бота у ць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му напря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ку продо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жується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327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17"/>
          </w:tcPr>
          <w:p w:rsidR="00A131C8" w:rsidRPr="00EC2DC7" w:rsidRDefault="00A131C8" w:rsidP="00EC2DC7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2DC7">
              <w:rPr>
                <w:rFonts w:ascii="Times New Roman" w:hAnsi="Times New Roman"/>
                <w:b/>
                <w:sz w:val="20"/>
                <w:szCs w:val="20"/>
              </w:rPr>
              <w:t>2.4.19. Створення умов для зміцнення зв’язків між регіонами та громадами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2212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Забезпече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 організ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ції виїздів делегацій області до регіонів -  потенці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й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 партн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рів Херс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нщини з метою 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лагодження міжрегіон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льного співробі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ництва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2016-2017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Програма економі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ного, 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ціального та культ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рного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Хер-сон-ської 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ласті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У 2017 році предста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ники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ної держа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ної адміні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трації пр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йняли участь у І частині Балтійсько-Чорномо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ського ф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руму (м. Клайпеда Литва) та  відвідали провінцію Падуя (Іт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лія)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2212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eastAsia="TimesNewRomanPS-BoldMT" w:hAnsi="Times New Roman"/>
                <w:sz w:val="20"/>
                <w:szCs w:val="20"/>
              </w:rPr>
              <w:t>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роведення аналітичної роботи з пошуку найбільш вигідних регіонів країн світу для налаг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дження співпраці на міжрегіон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льному рі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ні. Пров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дення си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темної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боти щодо реалізації укладених міжрегіон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льних угод між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ною держ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вною адм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ністрацією та адмініс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 xml:space="preserve">ративними суб’єктами регіонів іноземних </w:t>
            </w:r>
            <w:r w:rsidRPr="00EC2DC7">
              <w:rPr>
                <w:rFonts w:ascii="Times New Roman" w:hAnsi="Times New Roman"/>
                <w:iCs/>
                <w:sz w:val="20"/>
                <w:szCs w:val="20"/>
              </w:rPr>
              <w:t>держав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2016 -2017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Департ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мент ек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номічного розвитку та торгівлі обласної державної адмініс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рації, інші структу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ні підро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діли обл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сної де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жавної адмініс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рації,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йонні державні адмініс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рації, міськв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конкоми міст обл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сного зн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чення (за згодою)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Програма економі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ного, соц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ального та культурн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го розви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ку Херсо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ської обл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сті</w:t>
            </w:r>
          </w:p>
        </w:tc>
        <w:tc>
          <w:tcPr>
            <w:tcW w:w="850" w:type="dxa"/>
          </w:tcPr>
          <w:p w:rsidR="00A131C8" w:rsidRPr="00EC2DC7" w:rsidRDefault="00A131C8" w:rsidP="00EC2DC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131C8" w:rsidRPr="00EC2DC7" w:rsidRDefault="00A131C8" w:rsidP="00EC2DC7">
            <w:pPr>
              <w:widowControl w:val="0"/>
              <w:spacing w:after="0" w:line="240" w:lineRule="auto"/>
              <w:ind w:right="-57" w:hanging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2DC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31C8" w:rsidRPr="00EC2DC7" w:rsidRDefault="00A131C8" w:rsidP="00EC2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24 травня 2017 року делегація 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кої області на чолі з головою обласної державної адміністр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ції взяла участь у Балтійсько-Чорномо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ському ек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номічному форумі «З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хідні інн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ваційні 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жливості», який пр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ходив у м.Клайпеда (Литовська Республіка). кої області 14 – 15 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ресня 2017 року Гом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льщині (Р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спубліка Білорусь).</w:t>
            </w:r>
          </w:p>
          <w:p w:rsidR="00A131C8" w:rsidRPr="00EC2DC7" w:rsidRDefault="00A131C8" w:rsidP="00EC2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11 – 15 ж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втня 2017 року в 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наді пер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бувала 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рша офіці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й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на делегація 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кої області на чолі з в.о. перш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го засту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ника голови обласної державної адміністр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ції Бутрієм Д.С</w:t>
            </w:r>
          </w:p>
          <w:p w:rsidR="00A131C8" w:rsidRPr="00EC2DC7" w:rsidRDefault="00A131C8" w:rsidP="00EC2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10 – 12 ли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топада 2017 року, з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бочим віз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том пре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ставники облдерж адміністр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ції  переб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вали у 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 xml:space="preserve">тайській Народній Республіці </w:t>
            </w:r>
          </w:p>
          <w:p w:rsidR="00A131C8" w:rsidRPr="00EC2DC7" w:rsidRDefault="00A131C8" w:rsidP="00EC2DC7">
            <w:pPr>
              <w:pStyle w:val="1"/>
              <w:ind w:left="0"/>
              <w:rPr>
                <w:sz w:val="20"/>
                <w:lang w:val="uk-UA"/>
              </w:rPr>
            </w:pPr>
            <w:r w:rsidRPr="00EC2DC7">
              <w:rPr>
                <w:sz w:val="20"/>
                <w:lang w:val="uk-UA"/>
              </w:rPr>
              <w:t>Протягом 26 – 28 ли</w:t>
            </w:r>
            <w:r w:rsidRPr="00EC2DC7">
              <w:rPr>
                <w:sz w:val="20"/>
                <w:lang w:val="uk-UA"/>
              </w:rPr>
              <w:t>с</w:t>
            </w:r>
            <w:r w:rsidRPr="00EC2DC7">
              <w:rPr>
                <w:sz w:val="20"/>
                <w:lang w:val="uk-UA"/>
              </w:rPr>
              <w:t>топада 2017 року голова обласної державної адміністр</w:t>
            </w:r>
            <w:r w:rsidRPr="00EC2DC7">
              <w:rPr>
                <w:sz w:val="20"/>
                <w:lang w:val="uk-UA"/>
              </w:rPr>
              <w:t>а</w:t>
            </w:r>
            <w:r w:rsidRPr="00EC2DC7">
              <w:rPr>
                <w:sz w:val="20"/>
                <w:lang w:val="uk-UA"/>
              </w:rPr>
              <w:t>ції переб</w:t>
            </w:r>
            <w:r w:rsidRPr="00EC2DC7">
              <w:rPr>
                <w:sz w:val="20"/>
                <w:lang w:val="uk-UA"/>
              </w:rPr>
              <w:t>у</w:t>
            </w:r>
            <w:r w:rsidRPr="00EC2DC7">
              <w:rPr>
                <w:sz w:val="20"/>
                <w:lang w:val="uk-UA"/>
              </w:rPr>
              <w:t>вав у Грузії у складі офіційної делегації на чолі з Прем’єр-міністром України Гройсм</w:t>
            </w:r>
            <w:r w:rsidRPr="00EC2DC7">
              <w:rPr>
                <w:sz w:val="20"/>
                <w:lang w:val="uk-UA"/>
              </w:rPr>
              <w:t>а</w:t>
            </w:r>
            <w:r w:rsidRPr="00EC2DC7">
              <w:rPr>
                <w:sz w:val="20"/>
                <w:lang w:val="uk-UA"/>
              </w:rPr>
              <w:t>ном В.Б».</w:t>
            </w:r>
          </w:p>
          <w:p w:rsidR="00A131C8" w:rsidRPr="00EC2DC7" w:rsidRDefault="00A131C8" w:rsidP="00EC2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31C8" w:rsidRPr="00EC2DC7" w:rsidRDefault="00A131C8" w:rsidP="00EC2DC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Протягом 2017 року проведена аналітична робота з пошуку найбільш вигідних регіонів країн світу для налаг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дження співпраці на міжрегіон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льному рі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ні. Окрім того укл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дено та пі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писано 11 мемора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думів та 1 угода між Херсонс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ь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кою обла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ною держ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вною адм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ністрацією та субєкт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ми інозе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них</w:t>
            </w:r>
            <w:r w:rsidRPr="00EC2D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держав.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321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17"/>
          </w:tcPr>
          <w:p w:rsidR="00A131C8" w:rsidRPr="00EC2DC7" w:rsidRDefault="00A131C8" w:rsidP="00EC2DC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EC2DC7">
              <w:rPr>
                <w:rFonts w:ascii="Times New Roman" w:hAnsi="Times New Roman"/>
                <w:b/>
                <w:sz w:val="20"/>
                <w:szCs w:val="20"/>
              </w:rPr>
              <w:t>2.4.20. Розвиток прикордонних територій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2212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Забезпече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 розвитку сервісної інфрастру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тури в мі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цях розт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шування пунктів 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тного кон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ролю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2016-2017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План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ходів з реалізації у 2016-2017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ках стр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тегії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Хер-сон-ської 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ласті на період до 2020 року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6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Забезпечено розвиток сервісної інфрастру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тури кон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рольно-пропускн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го пункту в’їзду - ви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ї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зду «Чо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гар». Так, прокладено й облашт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вано дода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кову смугу дорожнього руху для вантажних автомобілів довжиною 250 м та шириною 8 м. Відсип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но та обл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штовано майданчик для стоянки автомобілів. Сервісний центр 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лаштований терміналом для прий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му гром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дян. Пр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цює серві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с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на зона. Облашт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вана піш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хідна зона  з освітленням і огорожею по всій 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риторії КПВВ, встановлено 250 м євр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пейської сітки-огорожі та 160 м ог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рожі з в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користа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ням сітки «рабиці», виготовлені два шла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бауми та встановлено бетонні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городже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ня.11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1C8" w:rsidTr="00EC2DC7">
        <w:trPr>
          <w:trHeight w:val="2212"/>
        </w:trPr>
        <w:tc>
          <w:tcPr>
            <w:tcW w:w="851" w:type="dxa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Облашт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у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вання кон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рольно-пропускних пунктів в’їзду-виїзду на кордоні з АР Крим («Чапли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ка», «Кал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нчак», «Ч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нгар»)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2016-2017 роки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C7">
              <w:rPr>
                <w:rFonts w:ascii="Times New Roman" w:hAnsi="Times New Roman"/>
                <w:sz w:val="20"/>
                <w:szCs w:val="20"/>
              </w:rPr>
              <w:t>План 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ходів з реалізації у 2016-2017 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ках стр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а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тегії ро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з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витку Хер-сон-ської о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б</w:t>
            </w:r>
            <w:r w:rsidRPr="00EC2DC7">
              <w:rPr>
                <w:rFonts w:ascii="Times New Roman" w:hAnsi="Times New Roman"/>
                <w:sz w:val="20"/>
                <w:szCs w:val="20"/>
              </w:rPr>
              <w:t>ласті на період до 2020 року року</w:t>
            </w: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87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6" w:type="dxa"/>
            <w:gridSpan w:val="3"/>
          </w:tcPr>
          <w:p w:rsidR="00A131C8" w:rsidRPr="00EC2DC7" w:rsidRDefault="00A131C8" w:rsidP="00EC2DC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A131C8" w:rsidRPr="00EC2DC7" w:rsidRDefault="00A131C8" w:rsidP="00EC2DC7">
            <w:pPr>
              <w:pStyle w:val="a1"/>
              <w:spacing w:before="0" w:line="228" w:lineRule="auto"/>
              <w:ind w:left="-57" w:right="-57" w:firstLine="0"/>
              <w:rPr>
                <w:rFonts w:ascii="Times New Roman" w:hAnsi="Times New Roman"/>
                <w:sz w:val="20"/>
              </w:rPr>
            </w:pPr>
            <w:r w:rsidRPr="00EC2DC7">
              <w:rPr>
                <w:rFonts w:ascii="Times New Roman" w:hAnsi="Times New Roman"/>
                <w:sz w:val="20"/>
              </w:rPr>
              <w:t>В межах КПВВ «К</w:t>
            </w:r>
            <w:r w:rsidRPr="00EC2DC7">
              <w:rPr>
                <w:rFonts w:ascii="Times New Roman" w:hAnsi="Times New Roman"/>
                <w:sz w:val="20"/>
              </w:rPr>
              <w:t>а</w:t>
            </w:r>
            <w:r w:rsidRPr="00EC2DC7">
              <w:rPr>
                <w:rFonts w:ascii="Times New Roman" w:hAnsi="Times New Roman"/>
                <w:sz w:val="20"/>
              </w:rPr>
              <w:t>ланчак», «Чаплинка», «Чонгар» встановлено металеве бар’єрне огородження посередині автомобіл</w:t>
            </w:r>
            <w:r w:rsidRPr="00EC2DC7">
              <w:rPr>
                <w:rFonts w:ascii="Times New Roman" w:hAnsi="Times New Roman"/>
                <w:sz w:val="20"/>
              </w:rPr>
              <w:t>ь</w:t>
            </w:r>
            <w:r w:rsidRPr="00EC2DC7">
              <w:rPr>
                <w:rFonts w:ascii="Times New Roman" w:hAnsi="Times New Roman"/>
                <w:sz w:val="20"/>
              </w:rPr>
              <w:t>ної дороги. Забезпечено розділення потоків авт</w:t>
            </w:r>
            <w:r w:rsidRPr="00EC2DC7">
              <w:rPr>
                <w:rFonts w:ascii="Times New Roman" w:hAnsi="Times New Roman"/>
                <w:sz w:val="20"/>
              </w:rPr>
              <w:t>о</w:t>
            </w:r>
            <w:r w:rsidRPr="00EC2DC7">
              <w:rPr>
                <w:rFonts w:ascii="Times New Roman" w:hAnsi="Times New Roman"/>
                <w:sz w:val="20"/>
              </w:rPr>
              <w:t>транспорту та пішоходів, що рухают</w:t>
            </w:r>
            <w:r w:rsidRPr="00EC2DC7">
              <w:rPr>
                <w:rFonts w:ascii="Times New Roman" w:hAnsi="Times New Roman"/>
                <w:sz w:val="20"/>
              </w:rPr>
              <w:t>ь</w:t>
            </w:r>
            <w:r w:rsidRPr="00EC2DC7">
              <w:rPr>
                <w:rFonts w:ascii="Times New Roman" w:hAnsi="Times New Roman"/>
                <w:sz w:val="20"/>
              </w:rPr>
              <w:t>ся у зустрі</w:t>
            </w:r>
            <w:r w:rsidRPr="00EC2DC7">
              <w:rPr>
                <w:rFonts w:ascii="Times New Roman" w:hAnsi="Times New Roman"/>
                <w:sz w:val="20"/>
              </w:rPr>
              <w:t>ч</w:t>
            </w:r>
            <w:r w:rsidRPr="00EC2DC7">
              <w:rPr>
                <w:rFonts w:ascii="Times New Roman" w:hAnsi="Times New Roman"/>
                <w:sz w:val="20"/>
              </w:rPr>
              <w:t>них напря</w:t>
            </w:r>
            <w:r w:rsidRPr="00EC2DC7">
              <w:rPr>
                <w:rFonts w:ascii="Times New Roman" w:hAnsi="Times New Roman"/>
                <w:sz w:val="20"/>
              </w:rPr>
              <w:t>м</w:t>
            </w:r>
            <w:r w:rsidRPr="00EC2DC7">
              <w:rPr>
                <w:rFonts w:ascii="Times New Roman" w:hAnsi="Times New Roman"/>
                <w:sz w:val="20"/>
              </w:rPr>
              <w:t xml:space="preserve">ках. </w:t>
            </w:r>
          </w:p>
          <w:p w:rsidR="00A131C8" w:rsidRPr="00EC2DC7" w:rsidRDefault="00A131C8" w:rsidP="00EC2DC7">
            <w:pPr>
              <w:pStyle w:val="a1"/>
              <w:spacing w:before="0" w:line="228" w:lineRule="auto"/>
              <w:ind w:left="-57" w:right="-57" w:firstLine="0"/>
              <w:rPr>
                <w:rFonts w:ascii="Times New Roman" w:hAnsi="Times New Roman"/>
                <w:sz w:val="20"/>
              </w:rPr>
            </w:pPr>
            <w:r w:rsidRPr="00EC2DC7">
              <w:rPr>
                <w:rFonts w:ascii="Times New Roman" w:hAnsi="Times New Roman"/>
                <w:sz w:val="20"/>
              </w:rPr>
              <w:t>27 лютого 2017 року спільно з групою кер</w:t>
            </w:r>
            <w:r w:rsidRPr="00EC2DC7">
              <w:rPr>
                <w:rFonts w:ascii="Times New Roman" w:hAnsi="Times New Roman"/>
                <w:sz w:val="20"/>
              </w:rPr>
              <w:t>і</w:t>
            </w:r>
            <w:r w:rsidRPr="00EC2DC7">
              <w:rPr>
                <w:rFonts w:ascii="Times New Roman" w:hAnsi="Times New Roman"/>
                <w:sz w:val="20"/>
              </w:rPr>
              <w:t>вників Мін</w:t>
            </w:r>
            <w:r w:rsidRPr="00EC2DC7">
              <w:rPr>
                <w:rFonts w:ascii="Times New Roman" w:hAnsi="Times New Roman"/>
                <w:sz w:val="20"/>
              </w:rPr>
              <w:t>і</w:t>
            </w:r>
            <w:r w:rsidRPr="00EC2DC7">
              <w:rPr>
                <w:rFonts w:ascii="Times New Roman" w:hAnsi="Times New Roman"/>
                <w:sz w:val="20"/>
              </w:rPr>
              <w:t>стерства з питань ти</w:t>
            </w:r>
            <w:r w:rsidRPr="00EC2DC7">
              <w:rPr>
                <w:rFonts w:ascii="Times New Roman" w:hAnsi="Times New Roman"/>
                <w:sz w:val="20"/>
              </w:rPr>
              <w:t>м</w:t>
            </w:r>
            <w:r w:rsidRPr="00EC2DC7">
              <w:rPr>
                <w:rFonts w:ascii="Times New Roman" w:hAnsi="Times New Roman"/>
                <w:sz w:val="20"/>
              </w:rPr>
              <w:t>часово ок</w:t>
            </w:r>
            <w:r w:rsidRPr="00EC2DC7">
              <w:rPr>
                <w:rFonts w:ascii="Times New Roman" w:hAnsi="Times New Roman"/>
                <w:sz w:val="20"/>
              </w:rPr>
              <w:t>у</w:t>
            </w:r>
            <w:r w:rsidRPr="00EC2DC7">
              <w:rPr>
                <w:rFonts w:ascii="Times New Roman" w:hAnsi="Times New Roman"/>
                <w:sz w:val="20"/>
              </w:rPr>
              <w:t>пованих т</w:t>
            </w:r>
            <w:r w:rsidRPr="00EC2DC7">
              <w:rPr>
                <w:rFonts w:ascii="Times New Roman" w:hAnsi="Times New Roman"/>
                <w:sz w:val="20"/>
              </w:rPr>
              <w:t>е</w:t>
            </w:r>
            <w:r w:rsidRPr="00EC2DC7">
              <w:rPr>
                <w:rFonts w:ascii="Times New Roman" w:hAnsi="Times New Roman"/>
                <w:sz w:val="20"/>
              </w:rPr>
              <w:t>риторій та внутрішньо переміщених осіб України,  Міністерства інфрастру</w:t>
            </w:r>
            <w:r w:rsidRPr="00EC2DC7">
              <w:rPr>
                <w:rFonts w:ascii="Times New Roman" w:hAnsi="Times New Roman"/>
                <w:sz w:val="20"/>
              </w:rPr>
              <w:t>к</w:t>
            </w:r>
            <w:r w:rsidRPr="00EC2DC7">
              <w:rPr>
                <w:rFonts w:ascii="Times New Roman" w:hAnsi="Times New Roman"/>
                <w:sz w:val="20"/>
              </w:rPr>
              <w:t>тури Укра</w:t>
            </w:r>
            <w:r w:rsidRPr="00EC2DC7">
              <w:rPr>
                <w:rFonts w:ascii="Times New Roman" w:hAnsi="Times New Roman"/>
                <w:sz w:val="20"/>
              </w:rPr>
              <w:t>ї</w:t>
            </w:r>
            <w:r w:rsidRPr="00EC2DC7">
              <w:rPr>
                <w:rFonts w:ascii="Times New Roman" w:hAnsi="Times New Roman"/>
                <w:sz w:val="20"/>
              </w:rPr>
              <w:t xml:space="preserve">ни, а також інших центральних органів влади  здійснено виїзд на КПВВ. </w:t>
            </w:r>
          </w:p>
          <w:p w:rsidR="00A131C8" w:rsidRPr="00EC2DC7" w:rsidRDefault="00A131C8" w:rsidP="00EC2DC7">
            <w:pPr>
              <w:pStyle w:val="a1"/>
              <w:spacing w:before="0" w:line="228" w:lineRule="auto"/>
              <w:ind w:left="-57" w:right="-57" w:firstLine="0"/>
              <w:rPr>
                <w:rFonts w:ascii="Times New Roman" w:hAnsi="Times New Roman"/>
                <w:sz w:val="20"/>
                <w:lang w:val="ru-RU"/>
              </w:rPr>
            </w:pPr>
            <w:r w:rsidRPr="00EC2DC7">
              <w:rPr>
                <w:rFonts w:ascii="Times New Roman" w:hAnsi="Times New Roman"/>
                <w:sz w:val="20"/>
              </w:rPr>
              <w:t>За результ</w:t>
            </w:r>
            <w:r w:rsidRPr="00EC2DC7">
              <w:rPr>
                <w:rFonts w:ascii="Times New Roman" w:hAnsi="Times New Roman"/>
                <w:sz w:val="20"/>
              </w:rPr>
              <w:t>а</w:t>
            </w:r>
            <w:r w:rsidRPr="00EC2DC7">
              <w:rPr>
                <w:rFonts w:ascii="Times New Roman" w:hAnsi="Times New Roman"/>
                <w:sz w:val="20"/>
              </w:rPr>
              <w:t>тами розро</w:t>
            </w:r>
            <w:r w:rsidRPr="00EC2DC7">
              <w:rPr>
                <w:rFonts w:ascii="Times New Roman" w:hAnsi="Times New Roman"/>
                <w:sz w:val="20"/>
              </w:rPr>
              <w:t>б</w:t>
            </w:r>
            <w:r w:rsidRPr="00EC2DC7">
              <w:rPr>
                <w:rFonts w:ascii="Times New Roman" w:hAnsi="Times New Roman"/>
                <w:sz w:val="20"/>
              </w:rPr>
              <w:t>лено Покр</w:t>
            </w:r>
            <w:r w:rsidRPr="00EC2DC7">
              <w:rPr>
                <w:rFonts w:ascii="Times New Roman" w:hAnsi="Times New Roman"/>
                <w:sz w:val="20"/>
              </w:rPr>
              <w:t>о</w:t>
            </w:r>
            <w:r w:rsidRPr="00EC2DC7">
              <w:rPr>
                <w:rFonts w:ascii="Times New Roman" w:hAnsi="Times New Roman"/>
                <w:sz w:val="20"/>
              </w:rPr>
              <w:t>ковий план (Дорожню карту) щодо будівни-цтва об'єктів і</w:t>
            </w:r>
            <w:r w:rsidRPr="00EC2DC7">
              <w:rPr>
                <w:rFonts w:ascii="Times New Roman" w:hAnsi="Times New Roman"/>
                <w:sz w:val="20"/>
              </w:rPr>
              <w:t>н</w:t>
            </w:r>
            <w:r w:rsidRPr="00EC2DC7">
              <w:rPr>
                <w:rFonts w:ascii="Times New Roman" w:hAnsi="Times New Roman"/>
                <w:sz w:val="20"/>
              </w:rPr>
              <w:t>фрастрктури  КПВВ «К</w:t>
            </w:r>
            <w:r w:rsidRPr="00EC2DC7">
              <w:rPr>
                <w:rFonts w:ascii="Times New Roman" w:hAnsi="Times New Roman"/>
                <w:sz w:val="20"/>
              </w:rPr>
              <w:t>а</w:t>
            </w:r>
            <w:r w:rsidRPr="00EC2DC7">
              <w:rPr>
                <w:rFonts w:ascii="Times New Roman" w:hAnsi="Times New Roman"/>
                <w:sz w:val="20"/>
              </w:rPr>
              <w:t>ланчак», «Чонгар» та зони серві</w:t>
            </w:r>
            <w:r w:rsidRPr="00EC2DC7">
              <w:rPr>
                <w:rFonts w:ascii="Times New Roman" w:hAnsi="Times New Roman"/>
                <w:sz w:val="20"/>
              </w:rPr>
              <w:t>с</w:t>
            </w:r>
            <w:r w:rsidRPr="00EC2DC7">
              <w:rPr>
                <w:rFonts w:ascii="Times New Roman" w:hAnsi="Times New Roman"/>
                <w:sz w:val="20"/>
              </w:rPr>
              <w:t>ного обсл</w:t>
            </w:r>
            <w:r w:rsidRPr="00EC2DC7">
              <w:rPr>
                <w:rFonts w:ascii="Times New Roman" w:hAnsi="Times New Roman"/>
                <w:sz w:val="20"/>
              </w:rPr>
              <w:t>у</w:t>
            </w:r>
            <w:r w:rsidRPr="00EC2DC7">
              <w:rPr>
                <w:rFonts w:ascii="Times New Roman" w:hAnsi="Times New Roman"/>
                <w:sz w:val="20"/>
              </w:rPr>
              <w:t>говування на адміністр</w:t>
            </w:r>
            <w:r w:rsidRPr="00EC2DC7">
              <w:rPr>
                <w:rFonts w:ascii="Times New Roman" w:hAnsi="Times New Roman"/>
                <w:sz w:val="20"/>
              </w:rPr>
              <w:t>а</w:t>
            </w:r>
            <w:r w:rsidRPr="00EC2DC7">
              <w:rPr>
                <w:rFonts w:ascii="Times New Roman" w:hAnsi="Times New Roman"/>
                <w:sz w:val="20"/>
              </w:rPr>
              <w:t>тивному кордоні Херсонської області з А</w:t>
            </w:r>
            <w:r w:rsidRPr="00EC2DC7">
              <w:rPr>
                <w:rFonts w:ascii="Times New Roman" w:hAnsi="Times New Roman"/>
                <w:sz w:val="20"/>
                <w:lang w:val="ru-RU"/>
              </w:rPr>
              <w:t>Р Крим.</w:t>
            </w:r>
          </w:p>
          <w:p w:rsidR="00A131C8" w:rsidRPr="00EC2DC7" w:rsidRDefault="00A131C8" w:rsidP="00EC2DC7">
            <w:pPr>
              <w:pStyle w:val="a1"/>
              <w:spacing w:before="0" w:line="228" w:lineRule="auto"/>
              <w:ind w:left="-57" w:right="-57" w:firstLine="0"/>
              <w:rPr>
                <w:rFonts w:ascii="Times New Roman" w:hAnsi="Times New Roman"/>
                <w:sz w:val="20"/>
              </w:rPr>
            </w:pPr>
            <w:r w:rsidRPr="00EC2DC7">
              <w:rPr>
                <w:rFonts w:ascii="Times New Roman" w:hAnsi="Times New Roman"/>
                <w:sz w:val="20"/>
              </w:rPr>
              <w:t>Видано ро</w:t>
            </w:r>
            <w:r w:rsidRPr="00EC2DC7">
              <w:rPr>
                <w:rFonts w:ascii="Times New Roman" w:hAnsi="Times New Roman"/>
                <w:sz w:val="20"/>
              </w:rPr>
              <w:t>з</w:t>
            </w:r>
            <w:r w:rsidRPr="00EC2DC7">
              <w:rPr>
                <w:rFonts w:ascii="Times New Roman" w:hAnsi="Times New Roman"/>
                <w:sz w:val="20"/>
              </w:rPr>
              <w:t>порядження голови обл</w:t>
            </w:r>
            <w:r w:rsidRPr="00EC2DC7">
              <w:rPr>
                <w:rFonts w:ascii="Times New Roman" w:hAnsi="Times New Roman"/>
                <w:sz w:val="20"/>
              </w:rPr>
              <w:t>а</w:t>
            </w:r>
            <w:r w:rsidRPr="00EC2DC7">
              <w:rPr>
                <w:rFonts w:ascii="Times New Roman" w:hAnsi="Times New Roman"/>
                <w:sz w:val="20"/>
              </w:rPr>
              <w:t>сної держа</w:t>
            </w:r>
            <w:r w:rsidRPr="00EC2DC7">
              <w:rPr>
                <w:rFonts w:ascii="Times New Roman" w:hAnsi="Times New Roman"/>
                <w:sz w:val="20"/>
              </w:rPr>
              <w:t>в</w:t>
            </w:r>
            <w:r w:rsidRPr="00EC2DC7">
              <w:rPr>
                <w:rFonts w:ascii="Times New Roman" w:hAnsi="Times New Roman"/>
                <w:sz w:val="20"/>
              </w:rPr>
              <w:t>ної адмініс</w:t>
            </w:r>
            <w:r w:rsidRPr="00EC2DC7">
              <w:rPr>
                <w:rFonts w:ascii="Times New Roman" w:hAnsi="Times New Roman"/>
                <w:sz w:val="20"/>
              </w:rPr>
              <w:t>т</w:t>
            </w:r>
            <w:r w:rsidRPr="00EC2DC7">
              <w:rPr>
                <w:rFonts w:ascii="Times New Roman" w:hAnsi="Times New Roman"/>
                <w:sz w:val="20"/>
              </w:rPr>
              <w:t>рації від 23 червня  2017 року      №427  та №428, якими надано д</w:t>
            </w:r>
            <w:r w:rsidRPr="00EC2DC7">
              <w:rPr>
                <w:rFonts w:ascii="Times New Roman" w:hAnsi="Times New Roman"/>
                <w:sz w:val="20"/>
              </w:rPr>
              <w:t>о</w:t>
            </w:r>
            <w:r w:rsidRPr="00EC2DC7">
              <w:rPr>
                <w:rFonts w:ascii="Times New Roman" w:hAnsi="Times New Roman"/>
                <w:sz w:val="20"/>
              </w:rPr>
              <w:t>звіл Украї</w:t>
            </w:r>
            <w:r w:rsidRPr="00EC2DC7">
              <w:rPr>
                <w:rFonts w:ascii="Times New Roman" w:hAnsi="Times New Roman"/>
                <w:sz w:val="20"/>
              </w:rPr>
              <w:t>н</w:t>
            </w:r>
            <w:r w:rsidRPr="00EC2DC7">
              <w:rPr>
                <w:rFonts w:ascii="Times New Roman" w:hAnsi="Times New Roman"/>
                <w:sz w:val="20"/>
              </w:rPr>
              <w:t>ському де</w:t>
            </w:r>
            <w:r w:rsidRPr="00EC2DC7">
              <w:rPr>
                <w:rFonts w:ascii="Times New Roman" w:hAnsi="Times New Roman"/>
                <w:sz w:val="20"/>
              </w:rPr>
              <w:t>р</w:t>
            </w:r>
            <w:r w:rsidRPr="00EC2DC7">
              <w:rPr>
                <w:rFonts w:ascii="Times New Roman" w:hAnsi="Times New Roman"/>
                <w:sz w:val="20"/>
              </w:rPr>
              <w:t>жавному підприємству по обслуг</w:t>
            </w:r>
            <w:r w:rsidRPr="00EC2DC7">
              <w:rPr>
                <w:rFonts w:ascii="Times New Roman" w:hAnsi="Times New Roman"/>
                <w:sz w:val="20"/>
              </w:rPr>
              <w:t>о</w:t>
            </w:r>
            <w:r w:rsidRPr="00EC2DC7">
              <w:rPr>
                <w:rFonts w:ascii="Times New Roman" w:hAnsi="Times New Roman"/>
                <w:sz w:val="20"/>
              </w:rPr>
              <w:t>вуванню іноземних та вітчизняних автотрансп</w:t>
            </w:r>
            <w:r w:rsidRPr="00EC2DC7">
              <w:rPr>
                <w:rFonts w:ascii="Times New Roman" w:hAnsi="Times New Roman"/>
                <w:sz w:val="20"/>
              </w:rPr>
              <w:t>о</w:t>
            </w:r>
            <w:r w:rsidRPr="00EC2DC7">
              <w:rPr>
                <w:rFonts w:ascii="Times New Roman" w:hAnsi="Times New Roman"/>
                <w:sz w:val="20"/>
              </w:rPr>
              <w:t>ртних засобів «Укрінтера</w:t>
            </w:r>
            <w:r w:rsidRPr="00EC2DC7">
              <w:rPr>
                <w:rFonts w:ascii="Times New Roman" w:hAnsi="Times New Roman"/>
                <w:sz w:val="20"/>
              </w:rPr>
              <w:t>в</w:t>
            </w:r>
            <w:r w:rsidRPr="00EC2DC7">
              <w:rPr>
                <w:rFonts w:ascii="Times New Roman" w:hAnsi="Times New Roman"/>
                <w:sz w:val="20"/>
              </w:rPr>
              <w:t>тосервіс» на розробку проекту зе</w:t>
            </w:r>
            <w:r w:rsidRPr="00EC2DC7">
              <w:rPr>
                <w:rFonts w:ascii="Times New Roman" w:hAnsi="Times New Roman"/>
                <w:sz w:val="20"/>
              </w:rPr>
              <w:t>м</w:t>
            </w:r>
            <w:r w:rsidRPr="00EC2DC7">
              <w:rPr>
                <w:rFonts w:ascii="Times New Roman" w:hAnsi="Times New Roman"/>
                <w:sz w:val="20"/>
              </w:rPr>
              <w:t>леустрою щодо відв</w:t>
            </w:r>
            <w:r w:rsidRPr="00EC2DC7">
              <w:rPr>
                <w:rFonts w:ascii="Times New Roman" w:hAnsi="Times New Roman"/>
                <w:sz w:val="20"/>
              </w:rPr>
              <w:t>е</w:t>
            </w:r>
            <w:r w:rsidRPr="00EC2DC7">
              <w:rPr>
                <w:rFonts w:ascii="Times New Roman" w:hAnsi="Times New Roman"/>
                <w:sz w:val="20"/>
              </w:rPr>
              <w:t>дення зем</w:t>
            </w:r>
            <w:r w:rsidRPr="00EC2DC7">
              <w:rPr>
                <w:rFonts w:ascii="Times New Roman" w:hAnsi="Times New Roman"/>
                <w:sz w:val="20"/>
              </w:rPr>
              <w:t>е</w:t>
            </w:r>
            <w:r w:rsidRPr="00EC2DC7">
              <w:rPr>
                <w:rFonts w:ascii="Times New Roman" w:hAnsi="Times New Roman"/>
                <w:sz w:val="20"/>
              </w:rPr>
              <w:t>льних діл</w:t>
            </w:r>
            <w:r w:rsidRPr="00EC2DC7">
              <w:rPr>
                <w:rFonts w:ascii="Times New Roman" w:hAnsi="Times New Roman"/>
                <w:sz w:val="20"/>
              </w:rPr>
              <w:t>я</w:t>
            </w:r>
            <w:r w:rsidRPr="00EC2DC7">
              <w:rPr>
                <w:rFonts w:ascii="Times New Roman" w:hAnsi="Times New Roman"/>
                <w:sz w:val="20"/>
              </w:rPr>
              <w:t>нок у пості</w:t>
            </w:r>
            <w:r w:rsidRPr="00EC2DC7">
              <w:rPr>
                <w:rFonts w:ascii="Times New Roman" w:hAnsi="Times New Roman"/>
                <w:sz w:val="20"/>
              </w:rPr>
              <w:t>й</w:t>
            </w:r>
            <w:r w:rsidRPr="00EC2DC7">
              <w:rPr>
                <w:rFonts w:ascii="Times New Roman" w:hAnsi="Times New Roman"/>
                <w:sz w:val="20"/>
              </w:rPr>
              <w:t>не корист</w:t>
            </w:r>
            <w:r w:rsidRPr="00EC2DC7">
              <w:rPr>
                <w:rFonts w:ascii="Times New Roman" w:hAnsi="Times New Roman"/>
                <w:sz w:val="20"/>
              </w:rPr>
              <w:t>у</w:t>
            </w:r>
            <w:r w:rsidRPr="00EC2DC7">
              <w:rPr>
                <w:rFonts w:ascii="Times New Roman" w:hAnsi="Times New Roman"/>
                <w:sz w:val="20"/>
              </w:rPr>
              <w:t>вання із з</w:t>
            </w:r>
            <w:r w:rsidRPr="00EC2DC7">
              <w:rPr>
                <w:rFonts w:ascii="Times New Roman" w:hAnsi="Times New Roman"/>
                <w:sz w:val="20"/>
              </w:rPr>
              <w:t>е</w:t>
            </w:r>
            <w:r w:rsidRPr="00EC2DC7">
              <w:rPr>
                <w:rFonts w:ascii="Times New Roman" w:hAnsi="Times New Roman"/>
                <w:sz w:val="20"/>
              </w:rPr>
              <w:t>мель запасу державної власності (землі пр</w:t>
            </w:r>
            <w:r w:rsidRPr="00EC2DC7">
              <w:rPr>
                <w:rFonts w:ascii="Times New Roman" w:hAnsi="Times New Roman"/>
                <w:sz w:val="20"/>
              </w:rPr>
              <w:t>о</w:t>
            </w:r>
            <w:r w:rsidRPr="00EC2DC7">
              <w:rPr>
                <w:rFonts w:ascii="Times New Roman" w:hAnsi="Times New Roman"/>
                <w:sz w:val="20"/>
              </w:rPr>
              <w:t>мисловості, транспорту, зв’язку, ен</w:t>
            </w:r>
            <w:r w:rsidRPr="00EC2DC7">
              <w:rPr>
                <w:rFonts w:ascii="Times New Roman" w:hAnsi="Times New Roman"/>
                <w:sz w:val="20"/>
              </w:rPr>
              <w:t>е</w:t>
            </w:r>
            <w:r w:rsidRPr="00EC2DC7">
              <w:rPr>
                <w:rFonts w:ascii="Times New Roman" w:hAnsi="Times New Roman"/>
                <w:sz w:val="20"/>
              </w:rPr>
              <w:t>ргетики, оборони та іншого пр</w:t>
            </w:r>
            <w:r w:rsidRPr="00EC2DC7">
              <w:rPr>
                <w:rFonts w:ascii="Times New Roman" w:hAnsi="Times New Roman"/>
                <w:sz w:val="20"/>
              </w:rPr>
              <w:t>и</w:t>
            </w:r>
            <w:r w:rsidRPr="00EC2DC7">
              <w:rPr>
                <w:rFonts w:ascii="Times New Roman" w:hAnsi="Times New Roman"/>
                <w:sz w:val="20"/>
              </w:rPr>
              <w:t>значення), розташов</w:t>
            </w:r>
            <w:r w:rsidRPr="00EC2DC7">
              <w:rPr>
                <w:rFonts w:ascii="Times New Roman" w:hAnsi="Times New Roman"/>
                <w:sz w:val="20"/>
              </w:rPr>
              <w:t>а</w:t>
            </w:r>
            <w:r w:rsidRPr="00EC2DC7">
              <w:rPr>
                <w:rFonts w:ascii="Times New Roman" w:hAnsi="Times New Roman"/>
                <w:sz w:val="20"/>
              </w:rPr>
              <w:t>них за меж</w:t>
            </w:r>
            <w:r w:rsidRPr="00EC2DC7">
              <w:rPr>
                <w:rFonts w:ascii="Times New Roman" w:hAnsi="Times New Roman"/>
                <w:sz w:val="20"/>
              </w:rPr>
              <w:t>а</w:t>
            </w:r>
            <w:r w:rsidRPr="00EC2DC7">
              <w:rPr>
                <w:rFonts w:ascii="Times New Roman" w:hAnsi="Times New Roman"/>
                <w:sz w:val="20"/>
              </w:rPr>
              <w:t>ми населених пунктів на території Чонгарської сільської ради Геніч</w:t>
            </w:r>
            <w:r w:rsidRPr="00EC2DC7">
              <w:rPr>
                <w:rFonts w:ascii="Times New Roman" w:hAnsi="Times New Roman"/>
                <w:sz w:val="20"/>
              </w:rPr>
              <w:t>е</w:t>
            </w:r>
            <w:r w:rsidRPr="00EC2DC7">
              <w:rPr>
                <w:rFonts w:ascii="Times New Roman" w:hAnsi="Times New Roman"/>
                <w:sz w:val="20"/>
              </w:rPr>
              <w:t>ського рай</w:t>
            </w:r>
            <w:r w:rsidRPr="00EC2DC7">
              <w:rPr>
                <w:rFonts w:ascii="Times New Roman" w:hAnsi="Times New Roman"/>
                <w:sz w:val="20"/>
              </w:rPr>
              <w:t>о</w:t>
            </w:r>
            <w:r w:rsidRPr="00EC2DC7">
              <w:rPr>
                <w:rFonts w:ascii="Times New Roman" w:hAnsi="Times New Roman"/>
                <w:sz w:val="20"/>
              </w:rPr>
              <w:t>ну для ро</w:t>
            </w:r>
            <w:r w:rsidRPr="00EC2DC7">
              <w:rPr>
                <w:rFonts w:ascii="Times New Roman" w:hAnsi="Times New Roman"/>
                <w:sz w:val="20"/>
              </w:rPr>
              <w:t>з</w:t>
            </w:r>
            <w:r w:rsidRPr="00EC2DC7">
              <w:rPr>
                <w:rFonts w:ascii="Times New Roman" w:hAnsi="Times New Roman"/>
                <w:sz w:val="20"/>
              </w:rPr>
              <w:t>міщення КПВВ «Чо</w:t>
            </w:r>
            <w:r w:rsidRPr="00EC2DC7">
              <w:rPr>
                <w:rFonts w:ascii="Times New Roman" w:hAnsi="Times New Roman"/>
                <w:sz w:val="20"/>
              </w:rPr>
              <w:t>н</w:t>
            </w:r>
            <w:r w:rsidRPr="00EC2DC7">
              <w:rPr>
                <w:rFonts w:ascii="Times New Roman" w:hAnsi="Times New Roman"/>
                <w:sz w:val="20"/>
              </w:rPr>
              <w:t>гар» та ро</w:t>
            </w:r>
            <w:r w:rsidRPr="00EC2DC7">
              <w:rPr>
                <w:rFonts w:ascii="Times New Roman" w:hAnsi="Times New Roman"/>
                <w:sz w:val="20"/>
              </w:rPr>
              <w:t>з</w:t>
            </w:r>
            <w:r w:rsidRPr="00EC2DC7">
              <w:rPr>
                <w:rFonts w:ascii="Times New Roman" w:hAnsi="Times New Roman"/>
                <w:sz w:val="20"/>
              </w:rPr>
              <w:t>ташованих  за межами населених пунктів на території Червоноч</w:t>
            </w:r>
            <w:r w:rsidRPr="00EC2DC7">
              <w:rPr>
                <w:rFonts w:ascii="Times New Roman" w:hAnsi="Times New Roman"/>
                <w:sz w:val="20"/>
              </w:rPr>
              <w:t>а</w:t>
            </w:r>
            <w:r w:rsidRPr="00EC2DC7">
              <w:rPr>
                <w:rFonts w:ascii="Times New Roman" w:hAnsi="Times New Roman"/>
                <w:sz w:val="20"/>
              </w:rPr>
              <w:t>банської сільської ради Кала</w:t>
            </w:r>
            <w:r w:rsidRPr="00EC2DC7">
              <w:rPr>
                <w:rFonts w:ascii="Times New Roman" w:hAnsi="Times New Roman"/>
                <w:sz w:val="20"/>
              </w:rPr>
              <w:t>н</w:t>
            </w:r>
            <w:r w:rsidRPr="00EC2DC7">
              <w:rPr>
                <w:rFonts w:ascii="Times New Roman" w:hAnsi="Times New Roman"/>
                <w:sz w:val="20"/>
              </w:rPr>
              <w:t>чацького району для розміщення КПВВ «К</w:t>
            </w:r>
            <w:r w:rsidRPr="00EC2DC7">
              <w:rPr>
                <w:rFonts w:ascii="Times New Roman" w:hAnsi="Times New Roman"/>
                <w:sz w:val="20"/>
              </w:rPr>
              <w:t>а</w:t>
            </w:r>
            <w:r w:rsidRPr="00EC2DC7">
              <w:rPr>
                <w:rFonts w:ascii="Times New Roman" w:hAnsi="Times New Roman"/>
                <w:sz w:val="20"/>
              </w:rPr>
              <w:t>ланчак» ві</w:t>
            </w:r>
            <w:r w:rsidRPr="00EC2DC7">
              <w:rPr>
                <w:rFonts w:ascii="Times New Roman" w:hAnsi="Times New Roman"/>
                <w:sz w:val="20"/>
              </w:rPr>
              <w:t>д</w:t>
            </w:r>
            <w:r w:rsidRPr="00EC2DC7">
              <w:rPr>
                <w:rFonts w:ascii="Times New Roman" w:hAnsi="Times New Roman"/>
                <w:sz w:val="20"/>
              </w:rPr>
              <w:t>повідно, а також зон сервісного обслугов</w:t>
            </w:r>
            <w:r w:rsidRPr="00EC2DC7">
              <w:rPr>
                <w:rFonts w:ascii="Times New Roman" w:hAnsi="Times New Roman"/>
                <w:sz w:val="20"/>
              </w:rPr>
              <w:t>у</w:t>
            </w:r>
            <w:r w:rsidRPr="00EC2DC7">
              <w:rPr>
                <w:rFonts w:ascii="Times New Roman" w:hAnsi="Times New Roman"/>
                <w:sz w:val="20"/>
              </w:rPr>
              <w:t>вання.</w:t>
            </w:r>
          </w:p>
        </w:tc>
        <w:tc>
          <w:tcPr>
            <w:tcW w:w="1289" w:type="dxa"/>
            <w:gridSpan w:val="2"/>
          </w:tcPr>
          <w:p w:rsidR="00A131C8" w:rsidRPr="00EC2DC7" w:rsidRDefault="00A131C8" w:rsidP="00EC2DC7">
            <w:pPr>
              <w:tabs>
                <w:tab w:val="left" w:pos="104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31C8" w:rsidRDefault="00A131C8" w:rsidP="003F32E9">
      <w:pPr>
        <w:tabs>
          <w:tab w:val="left" w:pos="10490"/>
        </w:tabs>
        <w:spacing w:line="240" w:lineRule="auto"/>
        <w:ind w:left="-284"/>
        <w:contextualSpacing/>
        <w:rPr>
          <w:rFonts w:ascii="Times New Roman" w:hAnsi="Times New Roman"/>
          <w:sz w:val="28"/>
          <w:szCs w:val="28"/>
        </w:rPr>
      </w:pPr>
    </w:p>
    <w:p w:rsidR="00A131C8" w:rsidRDefault="00A131C8" w:rsidP="003F32E9">
      <w:pPr>
        <w:tabs>
          <w:tab w:val="left" w:pos="10490"/>
        </w:tabs>
        <w:spacing w:line="240" w:lineRule="auto"/>
        <w:ind w:left="-284"/>
        <w:contextualSpacing/>
        <w:rPr>
          <w:rFonts w:ascii="Times New Roman" w:hAnsi="Times New Roman"/>
          <w:sz w:val="28"/>
          <w:szCs w:val="28"/>
        </w:rPr>
      </w:pPr>
    </w:p>
    <w:p w:rsidR="00A131C8" w:rsidRPr="00873211" w:rsidRDefault="00A131C8" w:rsidP="00873211">
      <w:pPr>
        <w:tabs>
          <w:tab w:val="left" w:pos="10490"/>
        </w:tabs>
        <w:spacing w:line="240" w:lineRule="auto"/>
        <w:ind w:left="-284" w:right="-314"/>
        <w:contextualSpacing/>
        <w:rPr>
          <w:rFonts w:ascii="Times New Roman" w:hAnsi="Times New Roman"/>
          <w:sz w:val="28"/>
          <w:szCs w:val="28"/>
        </w:rPr>
      </w:pPr>
      <w:r w:rsidRPr="003F32E9">
        <w:rPr>
          <w:rFonts w:ascii="Times New Roman" w:hAnsi="Times New Roman"/>
          <w:sz w:val="28"/>
          <w:szCs w:val="28"/>
        </w:rPr>
        <w:tab/>
      </w:r>
      <w:r w:rsidRPr="003F32E9">
        <w:rPr>
          <w:rFonts w:ascii="Times New Roman" w:hAnsi="Times New Roman"/>
          <w:sz w:val="28"/>
          <w:szCs w:val="28"/>
        </w:rPr>
        <w:tab/>
      </w:r>
      <w:r w:rsidRPr="003F32E9">
        <w:rPr>
          <w:rFonts w:ascii="Times New Roman" w:hAnsi="Times New Roman"/>
          <w:sz w:val="28"/>
          <w:szCs w:val="28"/>
        </w:rPr>
        <w:tab/>
      </w:r>
      <w:r w:rsidRPr="003F32E9">
        <w:rPr>
          <w:rFonts w:ascii="Times New Roman" w:hAnsi="Times New Roman"/>
          <w:sz w:val="28"/>
          <w:szCs w:val="28"/>
        </w:rPr>
        <w:tab/>
      </w:r>
      <w:r w:rsidRPr="003F32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A131C8" w:rsidRPr="00873211" w:rsidSect="00444FC5">
      <w:headerReference w:type="even" r:id="rId7"/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1C8" w:rsidRDefault="00A131C8" w:rsidP="0099646E">
      <w:pPr>
        <w:spacing w:after="0" w:line="240" w:lineRule="auto"/>
      </w:pPr>
      <w:r>
        <w:separator/>
      </w:r>
    </w:p>
  </w:endnote>
  <w:endnote w:type="continuationSeparator" w:id="0">
    <w:p w:rsidR="00A131C8" w:rsidRDefault="00A131C8" w:rsidP="0099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1C8" w:rsidRDefault="00A131C8" w:rsidP="0099646E">
      <w:pPr>
        <w:spacing w:after="0" w:line="240" w:lineRule="auto"/>
      </w:pPr>
      <w:r>
        <w:separator/>
      </w:r>
    </w:p>
  </w:footnote>
  <w:footnote w:type="continuationSeparator" w:id="0">
    <w:p w:rsidR="00A131C8" w:rsidRDefault="00A131C8" w:rsidP="00996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1C8" w:rsidRDefault="00A131C8" w:rsidP="00AE48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31C8" w:rsidRDefault="00A131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1C8" w:rsidRDefault="00A131C8" w:rsidP="00AE48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65</w:t>
    </w:r>
    <w:r>
      <w:rPr>
        <w:rStyle w:val="PageNumber"/>
      </w:rPr>
      <w:fldChar w:fldCharType="end"/>
    </w:r>
  </w:p>
  <w:p w:rsidR="00A131C8" w:rsidRPr="00380F01" w:rsidRDefault="00A131C8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7CE"/>
    <w:multiLevelType w:val="hybridMultilevel"/>
    <w:tmpl w:val="9954C8BC"/>
    <w:lvl w:ilvl="0" w:tplc="77C074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CA6AA3"/>
    <w:multiLevelType w:val="multilevel"/>
    <w:tmpl w:val="EF72A1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2">
    <w:nsid w:val="5955529C"/>
    <w:multiLevelType w:val="multilevel"/>
    <w:tmpl w:val="2F9A72E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D31"/>
    <w:rsid w:val="00012CF1"/>
    <w:rsid w:val="000242DB"/>
    <w:rsid w:val="00026E3C"/>
    <w:rsid w:val="00035C95"/>
    <w:rsid w:val="00046186"/>
    <w:rsid w:val="00054096"/>
    <w:rsid w:val="00093205"/>
    <w:rsid w:val="00095B0C"/>
    <w:rsid w:val="000B3253"/>
    <w:rsid w:val="000F6E3D"/>
    <w:rsid w:val="000F7102"/>
    <w:rsid w:val="00113293"/>
    <w:rsid w:val="00153AD4"/>
    <w:rsid w:val="001A13B7"/>
    <w:rsid w:val="001A52A1"/>
    <w:rsid w:val="001B1751"/>
    <w:rsid w:val="001D4C97"/>
    <w:rsid w:val="001F731E"/>
    <w:rsid w:val="00220D31"/>
    <w:rsid w:val="002317C4"/>
    <w:rsid w:val="002602A6"/>
    <w:rsid w:val="002A1EE3"/>
    <w:rsid w:val="002F7232"/>
    <w:rsid w:val="00301C83"/>
    <w:rsid w:val="00367A68"/>
    <w:rsid w:val="00370357"/>
    <w:rsid w:val="00380F01"/>
    <w:rsid w:val="003C21AF"/>
    <w:rsid w:val="003C7940"/>
    <w:rsid w:val="003F32E9"/>
    <w:rsid w:val="00430F20"/>
    <w:rsid w:val="00432DAE"/>
    <w:rsid w:val="00444FC5"/>
    <w:rsid w:val="0049715A"/>
    <w:rsid w:val="00504C1F"/>
    <w:rsid w:val="00540E87"/>
    <w:rsid w:val="00553C61"/>
    <w:rsid w:val="00566ECB"/>
    <w:rsid w:val="005F2B60"/>
    <w:rsid w:val="00617B0A"/>
    <w:rsid w:val="006800C2"/>
    <w:rsid w:val="006E0D58"/>
    <w:rsid w:val="006F1026"/>
    <w:rsid w:val="006F2AF3"/>
    <w:rsid w:val="00766927"/>
    <w:rsid w:val="007B044F"/>
    <w:rsid w:val="007C637A"/>
    <w:rsid w:val="008561FF"/>
    <w:rsid w:val="00873211"/>
    <w:rsid w:val="008A5F22"/>
    <w:rsid w:val="008C1640"/>
    <w:rsid w:val="009868A1"/>
    <w:rsid w:val="00994A79"/>
    <w:rsid w:val="0099646E"/>
    <w:rsid w:val="009A3175"/>
    <w:rsid w:val="009F2EEB"/>
    <w:rsid w:val="00A131C8"/>
    <w:rsid w:val="00A32CAE"/>
    <w:rsid w:val="00A44D4F"/>
    <w:rsid w:val="00A6773A"/>
    <w:rsid w:val="00A9717A"/>
    <w:rsid w:val="00AE4869"/>
    <w:rsid w:val="00AE651F"/>
    <w:rsid w:val="00B0793A"/>
    <w:rsid w:val="00B105E1"/>
    <w:rsid w:val="00B66421"/>
    <w:rsid w:val="00B90010"/>
    <w:rsid w:val="00BB1B64"/>
    <w:rsid w:val="00BB78A0"/>
    <w:rsid w:val="00BF7723"/>
    <w:rsid w:val="00C32FB5"/>
    <w:rsid w:val="00C45702"/>
    <w:rsid w:val="00C702C3"/>
    <w:rsid w:val="00CA3767"/>
    <w:rsid w:val="00CA7D85"/>
    <w:rsid w:val="00CC3675"/>
    <w:rsid w:val="00CD34C1"/>
    <w:rsid w:val="00D0151B"/>
    <w:rsid w:val="00DB6C12"/>
    <w:rsid w:val="00DB7C0A"/>
    <w:rsid w:val="00E0757C"/>
    <w:rsid w:val="00E44F2C"/>
    <w:rsid w:val="00E47B43"/>
    <w:rsid w:val="00EC2DC7"/>
    <w:rsid w:val="00F0409E"/>
    <w:rsid w:val="00F15D17"/>
    <w:rsid w:val="00F55A73"/>
    <w:rsid w:val="00F94DC5"/>
    <w:rsid w:val="00FA5855"/>
    <w:rsid w:val="00FF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D58"/>
    <w:pPr>
      <w:spacing w:after="200" w:line="276" w:lineRule="auto"/>
    </w:pPr>
    <w:rPr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азва документа"/>
    <w:basedOn w:val="Normal"/>
    <w:next w:val="Normal"/>
    <w:link w:val="a0"/>
    <w:uiPriority w:val="99"/>
    <w:rsid w:val="006800C2"/>
    <w:pPr>
      <w:keepNext/>
      <w:keepLines/>
      <w:spacing w:before="240" w:after="240" w:line="240" w:lineRule="auto"/>
      <w:jc w:val="center"/>
    </w:pPr>
    <w:rPr>
      <w:rFonts w:ascii="Antiqua" w:hAnsi="Antiqua"/>
      <w:b/>
      <w:sz w:val="20"/>
      <w:szCs w:val="20"/>
      <w:lang w:eastAsia="uk-UA"/>
    </w:rPr>
  </w:style>
  <w:style w:type="paragraph" w:customStyle="1" w:styleId="a1">
    <w:name w:val="Нормальний текст"/>
    <w:basedOn w:val="Normal"/>
    <w:uiPriority w:val="99"/>
    <w:rsid w:val="006800C2"/>
    <w:pPr>
      <w:spacing w:before="120" w:after="0" w:line="240" w:lineRule="auto"/>
      <w:ind w:firstLine="567"/>
    </w:pPr>
    <w:rPr>
      <w:rFonts w:ascii="Antiqua" w:hAnsi="Antiqua"/>
      <w:sz w:val="26"/>
      <w:szCs w:val="20"/>
    </w:rPr>
  </w:style>
  <w:style w:type="character" w:customStyle="1" w:styleId="a0">
    <w:name w:val="Назва документа Знак"/>
    <w:link w:val="a"/>
    <w:uiPriority w:val="99"/>
    <w:locked/>
    <w:rsid w:val="006800C2"/>
    <w:rPr>
      <w:rFonts w:ascii="Antiqua" w:hAnsi="Antiqua"/>
      <w:b/>
      <w:sz w:val="20"/>
      <w:lang w:val="uk-UA" w:eastAsia="uk-UA"/>
    </w:rPr>
  </w:style>
  <w:style w:type="table" w:styleId="TableGrid">
    <w:name w:val="Table Grid"/>
    <w:basedOn w:val="TableNormal"/>
    <w:uiPriority w:val="99"/>
    <w:rsid w:val="006800C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F6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9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646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9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646E"/>
    <w:rPr>
      <w:rFonts w:cs="Times New Roman"/>
    </w:rPr>
  </w:style>
  <w:style w:type="paragraph" w:customStyle="1" w:styleId="st12">
    <w:name w:val="st12"/>
    <w:uiPriority w:val="99"/>
    <w:rsid w:val="00095B0C"/>
    <w:pPr>
      <w:autoSpaceDE w:val="0"/>
      <w:autoSpaceDN w:val="0"/>
      <w:adjustRightInd w:val="0"/>
      <w:spacing w:before="136" w:after="136"/>
      <w:jc w:val="center"/>
    </w:pPr>
    <w:rPr>
      <w:rFonts w:ascii="Times New Roman" w:hAnsi="Times New Roman"/>
      <w:sz w:val="24"/>
      <w:szCs w:val="24"/>
      <w:lang w:val="ru-RU" w:eastAsia="uk-UA"/>
    </w:rPr>
  </w:style>
  <w:style w:type="character" w:customStyle="1" w:styleId="st82">
    <w:name w:val="st82"/>
    <w:uiPriority w:val="99"/>
    <w:rsid w:val="00095B0C"/>
    <w:rPr>
      <w:color w:val="000000"/>
      <w:sz w:val="20"/>
    </w:rPr>
  </w:style>
  <w:style w:type="paragraph" w:styleId="BodyText">
    <w:name w:val="Body Text"/>
    <w:aliases w:val="Знак7,bt Знак Знак,bt Знак"/>
    <w:basedOn w:val="Normal"/>
    <w:link w:val="BodyTextChar"/>
    <w:uiPriority w:val="99"/>
    <w:rsid w:val="000B325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aliases w:val="Знак7 Char,bt Знак Знак Char,bt Знак Char"/>
    <w:basedOn w:val="DefaultParagraphFont"/>
    <w:link w:val="BodyText"/>
    <w:uiPriority w:val="99"/>
    <w:locked/>
    <w:rsid w:val="000B3253"/>
    <w:rPr>
      <w:rFonts w:ascii="Times New Roman" w:hAnsi="Times New Roman" w:cs="Times New Roman"/>
      <w:sz w:val="24"/>
      <w:szCs w:val="24"/>
      <w:lang w:val="uk-UA"/>
    </w:rPr>
  </w:style>
  <w:style w:type="paragraph" w:styleId="BodyTextIndent3">
    <w:name w:val="Body Text Indent 3"/>
    <w:basedOn w:val="Normal"/>
    <w:link w:val="BodyTextIndent3Char"/>
    <w:uiPriority w:val="99"/>
    <w:rsid w:val="00E0757C"/>
    <w:pPr>
      <w:spacing w:after="0" w:line="240" w:lineRule="auto"/>
      <w:ind w:left="993" w:hanging="633"/>
    </w:pPr>
    <w:rPr>
      <w:rFonts w:ascii="Times New Roman" w:hAnsi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0757C"/>
    <w:rPr>
      <w:rFonts w:ascii="Times New Roman" w:hAnsi="Times New Roman" w:cs="Times New Roman"/>
      <w:sz w:val="20"/>
      <w:szCs w:val="20"/>
    </w:rPr>
  </w:style>
  <w:style w:type="character" w:customStyle="1" w:styleId="rvts0">
    <w:name w:val="rvts0"/>
    <w:uiPriority w:val="99"/>
    <w:rsid w:val="00D0151B"/>
  </w:style>
  <w:style w:type="character" w:customStyle="1" w:styleId="2">
    <w:name w:val="Основной текст (2)_"/>
    <w:link w:val="20"/>
    <w:uiPriority w:val="99"/>
    <w:locked/>
    <w:rsid w:val="00B105E1"/>
    <w:rPr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B105E1"/>
    <w:pPr>
      <w:widowControl w:val="0"/>
      <w:shd w:val="clear" w:color="auto" w:fill="FFFFFF"/>
      <w:spacing w:before="180" w:after="0" w:line="240" w:lineRule="atLeast"/>
      <w:jc w:val="both"/>
    </w:pPr>
    <w:rPr>
      <w:sz w:val="28"/>
      <w:szCs w:val="20"/>
      <w:shd w:val="clear" w:color="auto" w:fill="FFFFFF"/>
      <w:lang w:val="en-US"/>
    </w:rPr>
  </w:style>
  <w:style w:type="paragraph" w:customStyle="1" w:styleId="1">
    <w:name w:val="Абзац списка1"/>
    <w:basedOn w:val="Normal"/>
    <w:uiPriority w:val="99"/>
    <w:rsid w:val="001A13B7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val="ru-RU"/>
    </w:rPr>
  </w:style>
  <w:style w:type="character" w:styleId="PageNumber">
    <w:name w:val="page number"/>
    <w:basedOn w:val="DefaultParagraphFont"/>
    <w:uiPriority w:val="99"/>
    <w:rsid w:val="009A31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65</Pages>
  <Words>8104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amazonka</dc:creator>
  <cp:keywords/>
  <dc:description/>
  <cp:lastModifiedBy>econom</cp:lastModifiedBy>
  <cp:revision>15</cp:revision>
  <cp:lastPrinted>2018-02-27T11:13:00Z</cp:lastPrinted>
  <dcterms:created xsi:type="dcterms:W3CDTF">2018-03-26T07:42:00Z</dcterms:created>
  <dcterms:modified xsi:type="dcterms:W3CDTF">2018-02-27T11:14:00Z</dcterms:modified>
</cp:coreProperties>
</file>