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D60B6" w14:textId="25A897DE" w:rsidR="00072813" w:rsidRDefault="00CA0533" w:rsidP="00072813">
      <w:pPr>
        <w:spacing w:line="228" w:lineRule="auto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</w:t>
      </w:r>
      <w:r w:rsidR="00EF21DB">
        <w:rPr>
          <w:rFonts w:ascii="Times New Roman" w:hAnsi="Times New Roman"/>
          <w:szCs w:val="26"/>
        </w:rPr>
        <w:t>Додаток 2</w:t>
      </w:r>
    </w:p>
    <w:p w14:paraId="47E40A12" w14:textId="77777777" w:rsidR="00072813" w:rsidRDefault="00072813" w:rsidP="00072813">
      <w:pPr>
        <w:spacing w:line="228" w:lineRule="auto"/>
        <w:jc w:val="right"/>
        <w:rPr>
          <w:rFonts w:ascii="Times New Roman" w:hAnsi="Times New Roman"/>
          <w:szCs w:val="26"/>
        </w:rPr>
      </w:pPr>
    </w:p>
    <w:p w14:paraId="12633A38" w14:textId="77777777" w:rsidR="00072813" w:rsidRDefault="00072813" w:rsidP="00072813">
      <w:pPr>
        <w:spacing w:line="228" w:lineRule="auto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Напрями діяльності та заходи обласної цільової програми</w:t>
      </w:r>
    </w:p>
    <w:p w14:paraId="03BD3C7B" w14:textId="77777777" w:rsidR="00111733" w:rsidRDefault="00EC2E39" w:rsidP="00911188">
      <w:pPr>
        <w:spacing w:line="228" w:lineRule="auto"/>
        <w:jc w:val="center"/>
        <w:rPr>
          <w:rFonts w:ascii="Times New Roman" w:hAnsi="Times New Roman"/>
          <w:szCs w:val="26"/>
        </w:rPr>
      </w:pPr>
      <w:r w:rsidRPr="008D3E3A">
        <w:rPr>
          <w:rFonts w:ascii="Times New Roman" w:hAnsi="Times New Roman"/>
          <w:szCs w:val="26"/>
        </w:rPr>
        <w:t>з реалізації Національної стратегії із створення</w:t>
      </w:r>
      <w:r w:rsidR="00B707AE" w:rsidRPr="008D3E3A">
        <w:rPr>
          <w:rFonts w:ascii="Times New Roman" w:hAnsi="Times New Roman"/>
          <w:szCs w:val="26"/>
        </w:rPr>
        <w:t xml:space="preserve"> </w:t>
      </w:r>
      <w:r w:rsidRPr="008D3E3A">
        <w:rPr>
          <w:rFonts w:ascii="Times New Roman" w:hAnsi="Times New Roman"/>
          <w:szCs w:val="26"/>
        </w:rPr>
        <w:t xml:space="preserve">безбар’єрного простору в </w:t>
      </w:r>
      <w:r w:rsidR="00A67CCD" w:rsidRPr="008D3E3A">
        <w:rPr>
          <w:rFonts w:ascii="Times New Roman" w:hAnsi="Times New Roman"/>
          <w:szCs w:val="26"/>
        </w:rPr>
        <w:t xml:space="preserve">Херсонській області на </w:t>
      </w:r>
      <w:r w:rsidR="00911188">
        <w:rPr>
          <w:rFonts w:ascii="Times New Roman" w:hAnsi="Times New Roman"/>
          <w:szCs w:val="26"/>
        </w:rPr>
        <w:t>2022 рік</w:t>
      </w:r>
    </w:p>
    <w:p w14:paraId="0DC5EEC3" w14:textId="77777777" w:rsidR="00E4363D" w:rsidRDefault="00E4363D" w:rsidP="000E690D">
      <w:pPr>
        <w:spacing w:line="228" w:lineRule="auto"/>
        <w:rPr>
          <w:rFonts w:ascii="Times New Roman" w:hAnsi="Times New Roman"/>
          <w:szCs w:val="26"/>
        </w:rPr>
      </w:pPr>
    </w:p>
    <w:tbl>
      <w:tblPr>
        <w:tblStyle w:val="a3"/>
        <w:tblW w:w="14969" w:type="dxa"/>
        <w:tblLook w:val="04A0" w:firstRow="1" w:lastRow="0" w:firstColumn="1" w:lastColumn="0" w:noHBand="0" w:noVBand="1"/>
      </w:tblPr>
      <w:tblGrid>
        <w:gridCol w:w="506"/>
        <w:gridCol w:w="2466"/>
        <w:gridCol w:w="2590"/>
        <w:gridCol w:w="1297"/>
        <w:gridCol w:w="2350"/>
        <w:gridCol w:w="1843"/>
        <w:gridCol w:w="1701"/>
        <w:gridCol w:w="2216"/>
      </w:tblGrid>
      <w:tr w:rsidR="00E4363D" w14:paraId="685353EC" w14:textId="77777777" w:rsidTr="00991F5E">
        <w:tc>
          <w:tcPr>
            <w:tcW w:w="506" w:type="dxa"/>
          </w:tcPr>
          <w:p w14:paraId="7D656B87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6DB1F31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466" w:type="dxa"/>
          </w:tcPr>
          <w:p w14:paraId="0F486C1A" w14:textId="77777777" w:rsidR="00E4363D" w:rsidRPr="00175432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32">
              <w:rPr>
                <w:rFonts w:ascii="Times New Roman" w:hAnsi="Times New Roman"/>
                <w:sz w:val="24"/>
                <w:szCs w:val="24"/>
              </w:rPr>
              <w:t>Назва напряму</w:t>
            </w:r>
          </w:p>
          <w:p w14:paraId="6867D7FE" w14:textId="77777777" w:rsidR="00E4363D" w:rsidRPr="00175432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75432">
              <w:rPr>
                <w:rFonts w:ascii="Times New Roman" w:hAnsi="Times New Roman"/>
                <w:sz w:val="24"/>
                <w:szCs w:val="24"/>
              </w:rPr>
              <w:t>іяльності</w:t>
            </w:r>
          </w:p>
          <w:p w14:paraId="72D60E1A" w14:textId="77777777" w:rsidR="00E4363D" w:rsidRPr="00175432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432">
              <w:rPr>
                <w:rFonts w:ascii="Times New Roman" w:hAnsi="Times New Roman"/>
                <w:sz w:val="24"/>
                <w:szCs w:val="24"/>
              </w:rPr>
              <w:t>(пріоритетні</w:t>
            </w:r>
          </w:p>
          <w:p w14:paraId="18E7EBB1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75432">
              <w:rPr>
                <w:rFonts w:ascii="Times New Roman" w:hAnsi="Times New Roman"/>
                <w:sz w:val="24"/>
                <w:szCs w:val="24"/>
              </w:rPr>
              <w:t>авдання)</w:t>
            </w:r>
          </w:p>
        </w:tc>
        <w:tc>
          <w:tcPr>
            <w:tcW w:w="2590" w:type="dxa"/>
          </w:tcPr>
          <w:p w14:paraId="14499CAD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</w:t>
            </w:r>
          </w:p>
          <w:p w14:paraId="670C553D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заходів</w:t>
            </w:r>
          </w:p>
          <w:p w14:paraId="5F2EEE6F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</w:t>
            </w:r>
          </w:p>
        </w:tc>
        <w:tc>
          <w:tcPr>
            <w:tcW w:w="1297" w:type="dxa"/>
          </w:tcPr>
          <w:p w14:paraId="267DFA08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</w:t>
            </w:r>
          </w:p>
          <w:p w14:paraId="49EDD95A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  <w:p w14:paraId="44B8205F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заходу</w:t>
            </w:r>
          </w:p>
        </w:tc>
        <w:tc>
          <w:tcPr>
            <w:tcW w:w="2350" w:type="dxa"/>
          </w:tcPr>
          <w:p w14:paraId="66BEABB5" w14:textId="77777777" w:rsidR="00E4363D" w:rsidRDefault="00E4363D" w:rsidP="0015581C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</w:tcPr>
          <w:p w14:paraId="3BCE3EBB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  <w:p w14:paraId="72496F10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701" w:type="dxa"/>
          </w:tcPr>
          <w:p w14:paraId="06369E92" w14:textId="77777777" w:rsidR="00E4363D" w:rsidRDefault="00E4363D" w:rsidP="00E4363D">
            <w:pPr>
              <w:spacing w:line="228" w:lineRule="auto"/>
              <w:ind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</w:t>
            </w:r>
          </w:p>
          <w:p w14:paraId="786DEDEC" w14:textId="77777777" w:rsidR="00E4363D" w:rsidRDefault="00E4363D" w:rsidP="00E4363D">
            <w:pPr>
              <w:spacing w:line="228" w:lineRule="auto"/>
              <w:ind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обсяги фінансу-</w:t>
            </w:r>
          </w:p>
          <w:p w14:paraId="2C4D815A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вання (вартість), тис.грн</w:t>
            </w:r>
          </w:p>
        </w:tc>
        <w:tc>
          <w:tcPr>
            <w:tcW w:w="2216" w:type="dxa"/>
          </w:tcPr>
          <w:p w14:paraId="34683509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Очікуваний </w:t>
            </w:r>
          </w:p>
          <w:p w14:paraId="1CC75DDB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14:paraId="27686E41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натуральних</w:t>
            </w:r>
          </w:p>
          <w:p w14:paraId="6C5A8954" w14:textId="77777777" w:rsidR="00E4363D" w:rsidRDefault="00E4363D" w:rsidP="00E4363D">
            <w:pPr>
              <w:spacing w:line="228" w:lineRule="auto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вимірниках)</w:t>
            </w:r>
          </w:p>
        </w:tc>
      </w:tr>
    </w:tbl>
    <w:p w14:paraId="5FC7810A" w14:textId="77777777" w:rsidR="00EC2E39" w:rsidRPr="00E4363D" w:rsidRDefault="00EC2E39" w:rsidP="00E4363D">
      <w:pPr>
        <w:spacing w:line="228" w:lineRule="auto"/>
        <w:rPr>
          <w:rFonts w:ascii="Times New Roman" w:hAnsi="Times New Roman"/>
          <w:sz w:val="8"/>
          <w:szCs w:val="8"/>
        </w:rPr>
      </w:pPr>
    </w:p>
    <w:p w14:paraId="03AE4397" w14:textId="77777777" w:rsidR="00B707AE" w:rsidRPr="008D3E3A" w:rsidRDefault="00B707AE" w:rsidP="0015581C">
      <w:pPr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Style w:val="a3"/>
        <w:tblW w:w="15055" w:type="dxa"/>
        <w:tblLook w:val="04A0" w:firstRow="1" w:lastRow="0" w:firstColumn="1" w:lastColumn="0" w:noHBand="0" w:noVBand="1"/>
      </w:tblPr>
      <w:tblGrid>
        <w:gridCol w:w="516"/>
        <w:gridCol w:w="2440"/>
        <w:gridCol w:w="2649"/>
        <w:gridCol w:w="1260"/>
        <w:gridCol w:w="2300"/>
        <w:gridCol w:w="1876"/>
        <w:gridCol w:w="1723"/>
        <w:gridCol w:w="2291"/>
      </w:tblGrid>
      <w:tr w:rsidR="00663DA8" w:rsidRPr="00175432" w14:paraId="10BD6CD4" w14:textId="77777777" w:rsidTr="00423333">
        <w:trPr>
          <w:tblHeader/>
        </w:trPr>
        <w:tc>
          <w:tcPr>
            <w:tcW w:w="516" w:type="dxa"/>
          </w:tcPr>
          <w:p w14:paraId="4F639AFF" w14:textId="77777777" w:rsidR="00B04F37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</w:tcPr>
          <w:p w14:paraId="3B3E09BF" w14:textId="77777777" w:rsidR="00B04F37" w:rsidRPr="00175432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14:paraId="5608A772" w14:textId="77777777" w:rsidR="00B04F37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250CB00F" w14:textId="77777777" w:rsidR="00B04F37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2CAFBA6" w14:textId="77777777" w:rsidR="00B04F37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14:paraId="70250517" w14:textId="77777777" w:rsidR="00B04F37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3" w:type="dxa"/>
          </w:tcPr>
          <w:p w14:paraId="574131E0" w14:textId="77777777" w:rsidR="00B04F37" w:rsidRDefault="00B04F37" w:rsidP="00B04F37">
            <w:pPr>
              <w:spacing w:line="228" w:lineRule="auto"/>
              <w:ind w:hanging="2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1" w:type="dxa"/>
          </w:tcPr>
          <w:p w14:paraId="7B233537" w14:textId="77777777" w:rsidR="00B04F37" w:rsidRDefault="00B04F37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3DA8" w:rsidRPr="008D3E3A" w14:paraId="78EE3DFB" w14:textId="77777777" w:rsidTr="00423333">
        <w:tc>
          <w:tcPr>
            <w:tcW w:w="516" w:type="dxa"/>
            <w:shd w:val="clear" w:color="auto" w:fill="FFFFFF" w:themeFill="background1"/>
          </w:tcPr>
          <w:p w14:paraId="4E04BF95" w14:textId="77FDAB80" w:rsidR="00175432" w:rsidRPr="008D3E3A" w:rsidRDefault="00E36925" w:rsidP="00E3692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14:paraId="2736844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збору і поширення достовірної інформації про доступність об’єктів фізичного оточення, а також встановлення вимог до публічних закладів щодо інформування про наявні умови доступності їх будівель і приміщень</w:t>
            </w:r>
          </w:p>
        </w:tc>
        <w:tc>
          <w:tcPr>
            <w:tcW w:w="2649" w:type="dxa"/>
            <w:shd w:val="clear" w:color="auto" w:fill="FFFFFF" w:themeFill="background1"/>
          </w:tcPr>
          <w:p w14:paraId="717E819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Проведення за участю громадських організацій щорічного моніторингу та оцінки ступеня безбар’єрності об’єктів фізичного оточення і послуг для осіб з інвалідністю та інших маломобільних груп населення з урахуванням гендерного аспекту (відповідно до Порядку проведення моніторингу та оцінки ступеня безбар’єрності об’єктів фізичного оточення і послуг для осіб з інвалідністю, затвердженого постановою Кабінету Міністрів України </w:t>
            </w:r>
          </w:p>
          <w:p w14:paraId="1D3F9013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від 26 травня 2021 року</w:t>
            </w:r>
          </w:p>
          <w:p w14:paraId="2A86DE2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№ 537)</w:t>
            </w:r>
          </w:p>
        </w:tc>
        <w:tc>
          <w:tcPr>
            <w:tcW w:w="1260" w:type="dxa"/>
            <w:shd w:val="clear" w:color="auto" w:fill="FFFFFF" w:themeFill="background1"/>
          </w:tcPr>
          <w:p w14:paraId="130643CF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До 01 листопада</w:t>
            </w:r>
          </w:p>
          <w:p w14:paraId="72641F68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0615D65D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Департаменти обласної державної адміністрації: </w:t>
            </w:r>
          </w:p>
          <w:p w14:paraId="0ECD71C0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соціального розвитку;</w:t>
            </w:r>
          </w:p>
          <w:p w14:paraId="7A917C8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розвитку територій;</w:t>
            </w:r>
          </w:p>
          <w:p w14:paraId="3A64616D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інфраструктури;</w:t>
            </w:r>
          </w:p>
          <w:p w14:paraId="37FA6698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здоров’я;</w:t>
            </w:r>
          </w:p>
          <w:p w14:paraId="1C3EA073" w14:textId="77777777" w:rsidR="00175432" w:rsidRPr="002E6222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E6222">
              <w:rPr>
                <w:rFonts w:ascii="Times New Roman" w:hAnsi="Times New Roman"/>
                <w:sz w:val="24"/>
                <w:szCs w:val="24"/>
              </w:rPr>
              <w:t>реалізації гуманітарної політики;</w:t>
            </w:r>
          </w:p>
          <w:p w14:paraId="299E1D57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обласної державної адміністрації:</w:t>
            </w:r>
          </w:p>
          <w:p w14:paraId="31D869F9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внутрішньої та інформаційної політики;</w:t>
            </w:r>
          </w:p>
          <w:p w14:paraId="5666475A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містобудування та архітектури;</w:t>
            </w:r>
          </w:p>
          <w:p w14:paraId="2CCC35FE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освіти і науки;</w:t>
            </w:r>
          </w:p>
          <w:p w14:paraId="31401323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туризму та курортів;</w:t>
            </w:r>
          </w:p>
          <w:p w14:paraId="022AF298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фізичної культури, молоді та спорту;</w:t>
            </w:r>
          </w:p>
          <w:p w14:paraId="44A972A2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інформаційних технологій;</w:t>
            </w:r>
          </w:p>
          <w:p w14:paraId="339F7A49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районні державні адміністрації;</w:t>
            </w:r>
          </w:p>
          <w:p w14:paraId="08230D4D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</w:t>
            </w:r>
            <w:r w:rsidR="00A2258E">
              <w:rPr>
                <w:rFonts w:ascii="Times New Roman" w:hAnsi="Times New Roman"/>
                <w:sz w:val="24"/>
                <w:szCs w:val="24"/>
              </w:rPr>
              <w:t>ищні, сільські ради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43C20117" w14:textId="77777777" w:rsidR="00A077EA" w:rsidRPr="001A3D6C" w:rsidRDefault="002E506A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</w:t>
            </w:r>
            <w:r w:rsidR="001A1F27" w:rsidRPr="001A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B09917" w14:textId="77777777" w:rsidR="00175432" w:rsidRPr="001A3D6C" w:rsidRDefault="001A1F27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FFFFFF" w:themeFill="background1"/>
          </w:tcPr>
          <w:p w14:paraId="05EDB0A5" w14:textId="77777777" w:rsidR="00175432" w:rsidRPr="001A1F27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0A9E60A5" w14:textId="77777777" w:rsidR="00175432" w:rsidRPr="008D3E3A" w:rsidRDefault="00A2258E" w:rsidP="00A2258E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езультати моніторингу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75432" w:rsidRPr="008D3E3A">
              <w:rPr>
                <w:rFonts w:ascii="Times New Roman" w:hAnsi="Times New Roman"/>
                <w:sz w:val="24"/>
                <w:szCs w:val="24"/>
              </w:rPr>
              <w:t>публіковано на офіційн</w:t>
            </w:r>
            <w:r>
              <w:rPr>
                <w:rFonts w:ascii="Times New Roman" w:hAnsi="Times New Roman"/>
                <w:sz w:val="24"/>
                <w:szCs w:val="24"/>
              </w:rPr>
              <w:t>их вебсайтах обласної, районних державних адміністрацій, органів місцевого самоврядування</w:t>
            </w:r>
            <w:r w:rsidR="00175432" w:rsidRPr="008D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75432" w:rsidRPr="008D3E3A">
              <w:rPr>
                <w:rFonts w:ascii="Times New Roman" w:hAnsi="Times New Roman"/>
                <w:sz w:val="24"/>
                <w:szCs w:val="24"/>
              </w:rPr>
              <w:t>відповідальних виконавців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75432" w:rsidRPr="008D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222" w:rsidRPr="008D3E3A" w14:paraId="2D75D56A" w14:textId="77777777" w:rsidTr="00423333">
        <w:tc>
          <w:tcPr>
            <w:tcW w:w="516" w:type="dxa"/>
          </w:tcPr>
          <w:p w14:paraId="66CCAE2F" w14:textId="6B0435DA" w:rsidR="002E6222" w:rsidRPr="00E36925" w:rsidRDefault="00E36925" w:rsidP="00E3692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40" w:type="dxa"/>
          </w:tcPr>
          <w:p w14:paraId="55431F68" w14:textId="1679C46E" w:rsidR="002E6222" w:rsidRPr="00EC0AD5" w:rsidRDefault="002E6222" w:rsidP="00175432">
            <w:pPr>
              <w:spacing w:line="22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Фінансування заходів щодо забезпечення доступності осіб з інвалідністю та інших маломобільних верств населення</w:t>
            </w:r>
          </w:p>
        </w:tc>
        <w:tc>
          <w:tcPr>
            <w:tcW w:w="2649" w:type="dxa"/>
          </w:tcPr>
          <w:p w14:paraId="0B18CCEC" w14:textId="77777777" w:rsidR="002E6222" w:rsidRPr="008D3E3A" w:rsidRDefault="002E622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Формування місцевих бюджетів з урахуванням виділення  необхідної суми коштів на виконання заходів щодо забезпечення доступності осіб з інвалідністю та інших маломобільних верств населення</w:t>
            </w:r>
          </w:p>
        </w:tc>
        <w:tc>
          <w:tcPr>
            <w:tcW w:w="1260" w:type="dxa"/>
          </w:tcPr>
          <w:p w14:paraId="517A420A" w14:textId="77777777" w:rsidR="002E6222" w:rsidRDefault="002E6222" w:rsidP="00175432">
            <w:pPr>
              <w:spacing w:line="228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</w:tcPr>
          <w:p w14:paraId="5A445E56" w14:textId="77777777" w:rsidR="00991F5E" w:rsidRDefault="00991F5E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реалізації гуманітарної політики обласної державної адміністрації</w:t>
            </w:r>
          </w:p>
          <w:p w14:paraId="0BE3E7E1" w14:textId="77777777" w:rsidR="00991F5E" w:rsidRDefault="00991F5E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1436606" w14:textId="77777777" w:rsidR="002E6222" w:rsidRPr="008D3E3A" w:rsidRDefault="002E622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51ADD25D" w14:textId="77777777" w:rsidR="002E6222" w:rsidRPr="00E22BD0" w:rsidRDefault="002E6222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22BD0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14:paraId="146C1FFE" w14:textId="77777777" w:rsidR="002E6222" w:rsidRDefault="002E6222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13FD76" w14:textId="77777777" w:rsidR="00991F5E" w:rsidRDefault="00991F5E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EF5576" w14:textId="77777777" w:rsidR="00991F5E" w:rsidRDefault="00991F5E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E4F2E" w14:textId="77777777" w:rsidR="00991F5E" w:rsidRDefault="00991F5E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208435" w14:textId="77777777" w:rsidR="00991F5E" w:rsidRPr="00E22BD0" w:rsidRDefault="00991F5E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7CCB3B" w14:textId="77777777" w:rsidR="002E6222" w:rsidRPr="00E22BD0" w:rsidRDefault="009C4A03" w:rsidP="002E622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22BD0">
              <w:rPr>
                <w:rFonts w:ascii="Times New Roman" w:hAnsi="Times New Roman"/>
                <w:sz w:val="24"/>
                <w:szCs w:val="24"/>
              </w:rPr>
              <w:t xml:space="preserve">Місцеві </w:t>
            </w:r>
            <w:r w:rsidR="002E6222" w:rsidRPr="00E22BD0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E22BD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3" w:type="dxa"/>
          </w:tcPr>
          <w:p w14:paraId="028D7872" w14:textId="5572CD7B" w:rsidR="00AE5D4B" w:rsidRPr="007B5C2B" w:rsidRDefault="007B5C2B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C2B">
              <w:rPr>
                <w:rFonts w:ascii="Times New Roman" w:hAnsi="Times New Roman"/>
                <w:sz w:val="24"/>
                <w:szCs w:val="24"/>
              </w:rPr>
              <w:t>7950,0</w:t>
            </w:r>
          </w:p>
          <w:p w14:paraId="08525102" w14:textId="77777777" w:rsidR="002E6222" w:rsidRDefault="002E6222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58FA77EB" w14:textId="77777777" w:rsidR="00991F5E" w:rsidRDefault="00991F5E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1BD75A11" w14:textId="77777777" w:rsidR="00991F5E" w:rsidRDefault="00991F5E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2FA6F15A" w14:textId="77777777" w:rsidR="00991F5E" w:rsidRDefault="00991F5E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3285E5DC" w14:textId="77777777" w:rsidR="00991F5E" w:rsidRDefault="00991F5E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55CFEC6E" w14:textId="77777777" w:rsidR="00991F5E" w:rsidRDefault="00991F5E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  <w:p w14:paraId="24AE2B0E" w14:textId="77777777" w:rsidR="001A3D6C" w:rsidRDefault="001A3D6C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66B90" w14:textId="77777777" w:rsidR="002E6222" w:rsidRPr="008D3E3A" w:rsidRDefault="00E22BD0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2291" w:type="dxa"/>
          </w:tcPr>
          <w:p w14:paraId="194944FD" w14:textId="77777777" w:rsidR="002E6222" w:rsidRPr="008D3E3A" w:rsidRDefault="002E6222" w:rsidP="002E622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Виділення коштів на виконання заходів для забезпечення</w:t>
            </w:r>
          </w:p>
          <w:p w14:paraId="2AE850F0" w14:textId="77777777" w:rsidR="002E6222" w:rsidRPr="008D3E3A" w:rsidRDefault="002E6222" w:rsidP="002E622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доступності осіб з інвалідністю та інших маломобільних верств населення</w:t>
            </w:r>
          </w:p>
        </w:tc>
      </w:tr>
      <w:tr w:rsidR="00663DA8" w:rsidRPr="008D3E3A" w14:paraId="4244B518" w14:textId="77777777" w:rsidTr="00423333">
        <w:tc>
          <w:tcPr>
            <w:tcW w:w="516" w:type="dxa"/>
          </w:tcPr>
          <w:p w14:paraId="1C890F43" w14:textId="01F2E26F" w:rsidR="00175432" w:rsidRPr="008D3E3A" w:rsidRDefault="00E36925" w:rsidP="00E3692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</w:tcPr>
          <w:p w14:paraId="511B4951" w14:textId="34F219F6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Проведення інвентаризації об’єктів спортивної інфраструктури для визначення їх стану та рівня доступності</w:t>
            </w:r>
          </w:p>
        </w:tc>
        <w:tc>
          <w:tcPr>
            <w:tcW w:w="2649" w:type="dxa"/>
          </w:tcPr>
          <w:p w14:paraId="1ED8894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збору інформації щодо наявної спортивної інфраструктури, визначення її технічного стану та рівня доступності</w:t>
            </w:r>
          </w:p>
        </w:tc>
        <w:tc>
          <w:tcPr>
            <w:tcW w:w="1260" w:type="dxa"/>
          </w:tcPr>
          <w:p w14:paraId="74187037" w14:textId="77777777" w:rsidR="00175432" w:rsidRPr="008D3E3A" w:rsidRDefault="00BB74D0" w:rsidP="00175432">
            <w:pPr>
              <w:spacing w:line="228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I</w:t>
            </w:r>
            <w:r w:rsidR="00175432"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квартал </w:t>
            </w:r>
          </w:p>
          <w:p w14:paraId="6895E9FC" w14:textId="77777777" w:rsidR="00175432" w:rsidRPr="008D3E3A" w:rsidRDefault="00BB74D0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  <w:r w:rsidR="00175432"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0" w:type="dxa"/>
          </w:tcPr>
          <w:p w14:paraId="5A3E5A10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фізичної культури, молоді та спорту обласної державної адміністрації;</w:t>
            </w:r>
          </w:p>
          <w:p w14:paraId="2511F8C6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3D81790E" w14:textId="77777777" w:rsidR="00175432" w:rsidRPr="00E22BD0" w:rsidRDefault="00B70C3C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E22BD0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2B0DDF9C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E482F20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Проведено інвентаризацію всіх об’єктів спортивної інфраструктури, визначено їх технічний стан та рівень доступності</w:t>
            </w:r>
          </w:p>
        </w:tc>
      </w:tr>
      <w:tr w:rsidR="00663DA8" w:rsidRPr="008D3E3A" w14:paraId="5A98446C" w14:textId="77777777" w:rsidTr="00423333">
        <w:tc>
          <w:tcPr>
            <w:tcW w:w="516" w:type="dxa"/>
          </w:tcPr>
          <w:p w14:paraId="60E424B8" w14:textId="4A1E51D2" w:rsidR="00175432" w:rsidRPr="008D3E3A" w:rsidRDefault="00E36925" w:rsidP="00E3692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</w:tcPr>
          <w:p w14:paraId="2B61A03B" w14:textId="323D6AE8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Формування мережі сучасних спортивних споруд за місцем проживання, у місцях масового відпочинку із забезпеченням їх доступності для різних верств населення, зокрема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для осіб з інвалідністю та інших маломобільних груп населення</w:t>
            </w:r>
          </w:p>
        </w:tc>
        <w:tc>
          <w:tcPr>
            <w:tcW w:w="2649" w:type="dxa"/>
          </w:tcPr>
          <w:p w14:paraId="5B4CB4CC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Проведення аналізу фактичного забезпечення спортивними спорудами населення за місцем проживання та у місцях масового відпочинку, а також вивчення питання щодо їх доступності,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відповідності соціальним стандартам та потребам громади</w:t>
            </w:r>
          </w:p>
        </w:tc>
        <w:tc>
          <w:tcPr>
            <w:tcW w:w="1260" w:type="dxa"/>
          </w:tcPr>
          <w:p w14:paraId="28C0ED3F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IV квартал</w:t>
            </w:r>
          </w:p>
          <w:p w14:paraId="0C5A5C63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0196F4EC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фізичної культури, молоді та спорту обласної державної адміністрації;</w:t>
            </w:r>
          </w:p>
          <w:p w14:paraId="173EA2A1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58F1CA5D" w14:textId="77777777" w:rsidR="00175432" w:rsidRPr="001A3D6C" w:rsidRDefault="0097580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4EED28E4" w14:textId="77777777" w:rsidR="00175432" w:rsidRPr="00504C76" w:rsidRDefault="00175432" w:rsidP="00175432">
            <w:pPr>
              <w:spacing w:line="22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1" w:type="dxa"/>
          </w:tcPr>
          <w:p w14:paraId="7B467F8D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Підготовлено пропозиції щодо будівництва нових або реконструкції наявних спортивних споруд</w:t>
            </w:r>
          </w:p>
        </w:tc>
      </w:tr>
      <w:tr w:rsidR="00663DA8" w:rsidRPr="008D3E3A" w14:paraId="640BD690" w14:textId="77777777" w:rsidTr="00423333">
        <w:tc>
          <w:tcPr>
            <w:tcW w:w="516" w:type="dxa"/>
          </w:tcPr>
          <w:p w14:paraId="1E85DB59" w14:textId="3D6AAEDC" w:rsidR="00175432" w:rsidRPr="008D3E3A" w:rsidRDefault="00E36925" w:rsidP="00E36925">
            <w:pPr>
              <w:pStyle w:val="a5"/>
              <w:tabs>
                <w:tab w:val="left" w:pos="244"/>
              </w:tabs>
              <w:spacing w:before="0" w:line="228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0" w:type="dxa"/>
          </w:tcPr>
          <w:p w14:paraId="103C9F54" w14:textId="076EAD02" w:rsidR="00175432" w:rsidRPr="008D3E3A" w:rsidRDefault="00175432" w:rsidP="00175432">
            <w:pPr>
              <w:pStyle w:val="a5"/>
              <w:tabs>
                <w:tab w:val="left" w:pos="244"/>
              </w:tabs>
              <w:spacing w:before="0" w:line="228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безперешкодного доступу осіб з інвалідністю та інших маломобільних груп населення до спортивних споруд</w:t>
            </w:r>
          </w:p>
        </w:tc>
        <w:tc>
          <w:tcPr>
            <w:tcW w:w="2649" w:type="dxa"/>
          </w:tcPr>
          <w:p w14:paraId="00B923A0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дотримання вимог щодо доступності спортивних споруд для осіб з інвалідністю та інших маломобільних груп населення</w:t>
            </w:r>
          </w:p>
        </w:tc>
        <w:tc>
          <w:tcPr>
            <w:tcW w:w="1260" w:type="dxa"/>
          </w:tcPr>
          <w:p w14:paraId="599856E3" w14:textId="77777777" w:rsidR="00175432" w:rsidRPr="008D3E3A" w:rsidRDefault="00BB74D0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I</w:t>
            </w:r>
            <w:r w:rsidR="00175432"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квартал  </w:t>
            </w:r>
          </w:p>
          <w:p w14:paraId="444A314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6D519542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Департамент розвитку територій обласної державної адміністрації; </w:t>
            </w:r>
          </w:p>
          <w:p w14:paraId="6DD7F9B6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фізичної культури, молоді та спорту обласн</w:t>
            </w:r>
            <w:r w:rsidR="00BB74D0">
              <w:rPr>
                <w:rFonts w:ascii="Times New Roman" w:hAnsi="Times New Roman"/>
                <w:sz w:val="24"/>
                <w:szCs w:val="24"/>
              </w:rPr>
              <w:t>ої державної адміністрації</w:t>
            </w:r>
          </w:p>
          <w:p w14:paraId="1193BB53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860A8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4F0A21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3445E3E" w14:textId="77777777" w:rsidR="00975802" w:rsidRPr="001A3D6C" w:rsidRDefault="00BB74D0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30E04A97" w14:textId="77777777" w:rsidR="00975802" w:rsidRPr="00B52C66" w:rsidRDefault="0097580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91" w:type="dxa"/>
          </w:tcPr>
          <w:p w14:paraId="279A4312" w14:textId="77777777" w:rsidR="00175432" w:rsidRPr="008D3E3A" w:rsidRDefault="00175432" w:rsidP="00BB74D0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Надано рекомендації органам місцевого самоврядування стосовно дотримання вимог щодо доступності спортивних споруд для осіб з інвалідністю та інших маломобільних груп населення під час реконструкції існуючих об’єктів спортивної інфраструктури</w:t>
            </w:r>
          </w:p>
        </w:tc>
      </w:tr>
      <w:tr w:rsidR="00663DA8" w:rsidRPr="008D3E3A" w14:paraId="0DB46678" w14:textId="77777777" w:rsidTr="00423333">
        <w:tc>
          <w:tcPr>
            <w:tcW w:w="516" w:type="dxa"/>
          </w:tcPr>
          <w:p w14:paraId="35334807" w14:textId="141FC97A" w:rsidR="00175432" w:rsidRPr="008D3E3A" w:rsidRDefault="00E36925" w:rsidP="00E3692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</w:tcPr>
          <w:p w14:paraId="0B5EF5BC" w14:textId="369A0DB8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Сприяння підвищенню міської мобільності та розвитку мережі паркувальних зон і пасажирських терміналів для пересадки з індивідуального транспорту на міський транспорт</w:t>
            </w:r>
          </w:p>
        </w:tc>
        <w:tc>
          <w:tcPr>
            <w:tcW w:w="2649" w:type="dxa"/>
          </w:tcPr>
          <w:p w14:paraId="5505E1D2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Покращення пішохідної інфраструктури, паркувальних зон, обмеження швидкості руху транспортних засобів та розвиток інфраструктури для руху велосипедів (зокрема встановлення світлофорів,  озвучених для потреб осіб з вадами слуху та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оснащених для потреб осіб з вадами зору)</w:t>
            </w:r>
          </w:p>
        </w:tc>
        <w:tc>
          <w:tcPr>
            <w:tcW w:w="1260" w:type="dxa"/>
          </w:tcPr>
          <w:p w14:paraId="5DB51BCA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IV квартал</w:t>
            </w:r>
          </w:p>
          <w:p w14:paraId="07F800CF" w14:textId="77777777" w:rsidR="00175432" w:rsidRPr="008D3E3A" w:rsidRDefault="00175432" w:rsidP="00BB74D0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</w:t>
            </w:r>
            <w:r w:rsidR="00BB74D0">
              <w:rPr>
                <w:rFonts w:ascii="Times New Roman" w:hAnsi="Times New Roman"/>
                <w:sz w:val="24"/>
                <w:szCs w:val="24"/>
              </w:rPr>
              <w:t>2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0" w:type="dxa"/>
          </w:tcPr>
          <w:p w14:paraId="5043B24E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 інфраструктури обласної державної адміністрації;</w:t>
            </w:r>
          </w:p>
          <w:p w14:paraId="501C4183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районні державні адміністрації;</w:t>
            </w:r>
          </w:p>
          <w:p w14:paraId="670A1CF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згодою);</w:t>
            </w:r>
          </w:p>
          <w:p w14:paraId="0A075DB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Служба автомобільних доріг у Херсонській області (за згодою);</w:t>
            </w:r>
          </w:p>
          <w:p w14:paraId="57A42C92" w14:textId="77777777" w:rsidR="00175432" w:rsidRPr="008D3E3A" w:rsidRDefault="001A3D6C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 «Місцеві дороги Херсонщини»</w:t>
            </w:r>
          </w:p>
        </w:tc>
        <w:tc>
          <w:tcPr>
            <w:tcW w:w="1876" w:type="dxa"/>
          </w:tcPr>
          <w:p w14:paraId="504EC21E" w14:textId="77777777" w:rsidR="009E72A5" w:rsidRPr="001A3D6C" w:rsidRDefault="009E72A5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lastRenderedPageBreak/>
              <w:t>Державний бюджет</w:t>
            </w:r>
          </w:p>
          <w:p w14:paraId="7879D402" w14:textId="77777777" w:rsidR="009E72A5" w:rsidRPr="001A3D6C" w:rsidRDefault="009E72A5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74C21" w14:textId="77777777" w:rsidR="00175432" w:rsidRPr="001A3D6C" w:rsidRDefault="00A62B1C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Місцев</w:t>
            </w:r>
            <w:r w:rsidR="006B67EC" w:rsidRPr="001A3D6C">
              <w:rPr>
                <w:rFonts w:ascii="Times New Roman" w:hAnsi="Times New Roman"/>
                <w:sz w:val="24"/>
                <w:szCs w:val="24"/>
              </w:rPr>
              <w:t>і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6B67EC" w:rsidRPr="001A3D6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1CC0947D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D34B0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AFD08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A057B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116E7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85FE1" w14:textId="77777777" w:rsidR="00662642" w:rsidRPr="001A3D6C" w:rsidRDefault="0066264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30AEA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14:paraId="2F56741F" w14:textId="77777777" w:rsidR="00A62B1C" w:rsidRPr="001A3D6C" w:rsidRDefault="006B67EC" w:rsidP="0017543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1A3D6C">
              <w:rPr>
                <w:rFonts w:ascii="Times New Roman" w:hAnsi="Times New Roman"/>
                <w:sz w:val="22"/>
                <w:szCs w:val="22"/>
              </w:rPr>
              <w:t>В обсягах фінансування заходів програми «Велике будівництво» на будівництво та реконструкцію доріг</w:t>
            </w:r>
          </w:p>
          <w:p w14:paraId="22B19D2F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2E7D856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36320EC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CF2FB16" w14:textId="77777777" w:rsidR="00504C76" w:rsidRPr="001A3D6C" w:rsidRDefault="00504C76" w:rsidP="00175432">
            <w:pPr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09776C6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Забезпечено  доступність для осіб з інвалідністю та інших маломобільних груп населення (пологі заїзди/з’їзди шляхом пониження бортового каменю тощо) під час будівництва та реконструкції</w:t>
            </w:r>
          </w:p>
        </w:tc>
      </w:tr>
      <w:tr w:rsidR="00663DA8" w:rsidRPr="008D3E3A" w14:paraId="39D17A12" w14:textId="77777777" w:rsidTr="00423333">
        <w:tc>
          <w:tcPr>
            <w:tcW w:w="516" w:type="dxa"/>
          </w:tcPr>
          <w:p w14:paraId="5CCBC995" w14:textId="66C98159" w:rsidR="00175432" w:rsidRPr="008D3E3A" w:rsidRDefault="00E36925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0" w:type="dxa"/>
          </w:tcPr>
          <w:p w14:paraId="1101379E" w14:textId="51BBF0E0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доступності транспортних послуг для всіх громадян, зокрема для осіб з інвалідністю та інших маломобільних груп населення, шляхом створення для них доступного середовища для вільного пересування</w:t>
            </w:r>
          </w:p>
        </w:tc>
        <w:tc>
          <w:tcPr>
            <w:tcW w:w="2649" w:type="dxa"/>
          </w:tcPr>
          <w:p w14:paraId="76BF5DB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Придбання за потреби на умовах співфінансування з місцевих бюджетів шкільних автобусів, пристосованих для перевезення дітей, які пересуваються у кріслах колісних</w:t>
            </w:r>
          </w:p>
        </w:tc>
        <w:tc>
          <w:tcPr>
            <w:tcW w:w="1260" w:type="dxa"/>
          </w:tcPr>
          <w:p w14:paraId="267C4ED1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  <w:p w14:paraId="09E86718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33C7BBEB" w14:textId="77777777" w:rsidR="00175432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освіти і науки о</w:t>
            </w:r>
            <w:r w:rsidR="00991F5E">
              <w:rPr>
                <w:rFonts w:ascii="Times New Roman" w:hAnsi="Times New Roman"/>
                <w:sz w:val="24"/>
                <w:szCs w:val="24"/>
              </w:rPr>
              <w:t>бласної державної адміністрації.</w:t>
            </w:r>
          </w:p>
          <w:p w14:paraId="1080E2B1" w14:textId="77777777" w:rsidR="00991F5E" w:rsidRPr="008D3E3A" w:rsidRDefault="00991F5E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B855C3E" w14:textId="77777777" w:rsidR="00175432" w:rsidRPr="008D3E3A" w:rsidRDefault="00991F5E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75432" w:rsidRPr="008D3E3A">
              <w:rPr>
                <w:rFonts w:ascii="Times New Roman" w:hAnsi="Times New Roman"/>
                <w:sz w:val="24"/>
                <w:szCs w:val="24"/>
              </w:rPr>
              <w:t>іські, селищні, сільські ради (за згодою)</w:t>
            </w:r>
          </w:p>
          <w:p w14:paraId="06309C5B" w14:textId="77777777" w:rsidR="00175432" w:rsidRPr="008D3E3A" w:rsidRDefault="00175432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11EAFCC5" w14:textId="77777777" w:rsidR="009C4A03" w:rsidRPr="001A3D6C" w:rsidRDefault="009C4A03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14:paraId="7EEFBD65" w14:textId="77777777" w:rsidR="009C4A03" w:rsidRDefault="009C4A03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1D5DC" w14:textId="77777777" w:rsidR="00991F5E" w:rsidRDefault="00991F5E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630AA" w14:textId="77777777" w:rsidR="00991F5E" w:rsidRPr="001A3D6C" w:rsidRDefault="00991F5E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75B822" w14:textId="77777777" w:rsidR="00175432" w:rsidRPr="001A3D6C" w:rsidRDefault="009C4A03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Місцеві</w:t>
            </w:r>
            <w:r w:rsidR="00CF6474" w:rsidRPr="001A3D6C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4525CA0A" w14:textId="77777777" w:rsidR="00032D3F" w:rsidRPr="001A3D6C" w:rsidRDefault="00032D3F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4CBBB" w14:textId="77777777" w:rsidR="00032D3F" w:rsidRPr="001A3D6C" w:rsidRDefault="00032D3F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9C8A690" w14:textId="77777777" w:rsidR="009C4A03" w:rsidRDefault="009C4A03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12500,0 </w:t>
            </w:r>
          </w:p>
          <w:p w14:paraId="21AAD627" w14:textId="77777777" w:rsidR="00991F5E" w:rsidRDefault="00991F5E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E6691D" w14:textId="77777777" w:rsidR="00991F5E" w:rsidRPr="001A3D6C" w:rsidRDefault="00991F5E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B5A4B" w14:textId="77777777" w:rsidR="009C4A03" w:rsidRDefault="009C4A03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A3EA81" w14:textId="77777777" w:rsidR="00991F5E" w:rsidRPr="001A3D6C" w:rsidRDefault="00991F5E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82910" w14:textId="77777777" w:rsidR="00175432" w:rsidRPr="001A3D6C" w:rsidRDefault="00CF6474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14:paraId="63FC0840" w14:textId="77777777" w:rsidR="00032D3F" w:rsidRPr="001A3D6C" w:rsidRDefault="00032D3F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57D5A" w14:textId="77777777" w:rsidR="00032D3F" w:rsidRPr="001A3D6C" w:rsidRDefault="00032D3F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36DA6F" w14:textId="77777777" w:rsidR="00032D3F" w:rsidRPr="001A3D6C" w:rsidRDefault="00032D3F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6AE03" w14:textId="77777777" w:rsidR="00032D3F" w:rsidRPr="001A3D6C" w:rsidRDefault="00032D3F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42E932F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Створено покращені умови для перевезення школярів, зокрема дітей, які пересуваються у кріслах колісних</w:t>
            </w:r>
          </w:p>
        </w:tc>
      </w:tr>
      <w:tr w:rsidR="00663DA8" w:rsidRPr="008D3E3A" w14:paraId="238B0257" w14:textId="77777777" w:rsidTr="00423333"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44D217" w14:textId="129B41D5" w:rsidR="00175432" w:rsidRPr="008D3E3A" w:rsidRDefault="00E36925" w:rsidP="00E36925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3C961E" w14:textId="10BD24FC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Поступове оновлення рухомого складу для пасажирських перевезень, заміна концепції використання мініавтобусів на більш гнучкі та екологічно чисті системи, обладнані для перевезення осіб з інвалідністю та інших маломобільних груп населення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57EDF7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Запровадження поетапного збільшення на маршрутах загального користування кількості транспортних засобів, пристосованих для перевезення осіб з інвалідністю та інших маломобільних груп населення</w:t>
            </w:r>
          </w:p>
        </w:tc>
        <w:tc>
          <w:tcPr>
            <w:tcW w:w="1260" w:type="dxa"/>
            <w:shd w:val="clear" w:color="auto" w:fill="FFFFFF" w:themeFill="background1"/>
          </w:tcPr>
          <w:p w14:paraId="6250FA3D" w14:textId="77777777" w:rsidR="00175432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До 01 грудня </w:t>
            </w:r>
          </w:p>
          <w:p w14:paraId="579CEA5F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  <w:p w14:paraId="39D83426" w14:textId="77777777" w:rsidR="00175432" w:rsidRPr="008D3E3A" w:rsidRDefault="00175432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 w:themeFill="background1"/>
          </w:tcPr>
          <w:p w14:paraId="36557663" w14:textId="77777777" w:rsidR="00991F5E" w:rsidRPr="00991F5E" w:rsidRDefault="00991F5E" w:rsidP="00991F5E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F5E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  <w:p w14:paraId="07AB92FA" w14:textId="77777777" w:rsidR="00175432" w:rsidRPr="008D3E3A" w:rsidRDefault="00175432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5C324095" w14:textId="77777777" w:rsidR="00175432" w:rsidRPr="001A3D6C" w:rsidRDefault="00772A14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Місцеві </w:t>
            </w:r>
            <w:r w:rsidR="00CB77F0" w:rsidRPr="001A3D6C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3" w:type="dxa"/>
            <w:shd w:val="clear" w:color="auto" w:fill="FFFFFF" w:themeFill="background1"/>
          </w:tcPr>
          <w:p w14:paraId="0EE48413" w14:textId="77777777" w:rsidR="007D3040" w:rsidRPr="001A3D6C" w:rsidRDefault="00772A14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В обсягах фінансування заходів міс</w:t>
            </w:r>
            <w:r w:rsidR="00B27815">
              <w:rPr>
                <w:rFonts w:ascii="Times New Roman" w:hAnsi="Times New Roman"/>
                <w:sz w:val="24"/>
                <w:szCs w:val="24"/>
              </w:rPr>
              <w:t>цевих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B27815">
              <w:rPr>
                <w:rFonts w:ascii="Times New Roman" w:hAnsi="Times New Roman"/>
                <w:sz w:val="24"/>
                <w:szCs w:val="24"/>
              </w:rPr>
              <w:t>ограм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 xml:space="preserve"> «Доступний Херсон на 2019-2023 роки»</w:t>
            </w:r>
            <w:r w:rsidR="00B27815">
              <w:rPr>
                <w:rFonts w:ascii="Times New Roman" w:hAnsi="Times New Roman"/>
                <w:sz w:val="24"/>
                <w:szCs w:val="24"/>
              </w:rPr>
              <w:t>, «Програма фінансової підтримки підприємств комунальної власності міста Нова Каховка на 2022-2024 роки»</w:t>
            </w:r>
          </w:p>
        </w:tc>
        <w:tc>
          <w:tcPr>
            <w:tcW w:w="2291" w:type="dxa"/>
            <w:shd w:val="clear" w:color="auto" w:fill="FFFFFF" w:themeFill="background1"/>
          </w:tcPr>
          <w:p w14:paraId="6FAB8E9D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Збільшено частку транспортних засобів загального користування, пристосованих для користування осіб з інвалідністю та інших маломобільних груп населення</w:t>
            </w:r>
          </w:p>
        </w:tc>
      </w:tr>
      <w:tr w:rsidR="00A263C6" w:rsidRPr="008D3E3A" w14:paraId="16D02EF6" w14:textId="77777777" w:rsidTr="0042333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58D43" w14:textId="33AEBC60" w:rsidR="00A263C6" w:rsidRPr="000433EA" w:rsidRDefault="000433EA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90C05" w14:textId="0E93CDF5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захисту і безпеки осіб з інвалідністю та інших маломобільних груп населення у надзвичайних ситуаціях, зокрема у разі виникнення загрози збройних конфліктів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</w:tcBorders>
          </w:tcPr>
          <w:p w14:paraId="0BFEFD00" w14:textId="77777777" w:rsidR="00A263C6" w:rsidRPr="008D3E3A" w:rsidRDefault="00A263C6" w:rsidP="008803C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1. Проведення моніторингу дотримання прав осіб з інвалідністю та інших маломобільних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</w:t>
            </w:r>
            <w:r>
              <w:rPr>
                <w:rFonts w:ascii="Times New Roman" w:hAnsi="Times New Roman"/>
                <w:sz w:val="24"/>
                <w:szCs w:val="24"/>
              </w:rPr>
              <w:t>цивільного захисту</w:t>
            </w:r>
          </w:p>
        </w:tc>
        <w:tc>
          <w:tcPr>
            <w:tcW w:w="1260" w:type="dxa"/>
          </w:tcPr>
          <w:p w14:paraId="503CB307" w14:textId="77777777" w:rsidR="00A263C6" w:rsidRPr="008D3E3A" w:rsidRDefault="00A263C6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І квартал </w:t>
            </w:r>
          </w:p>
          <w:p w14:paraId="43ACFF11" w14:textId="77777777" w:rsidR="00A263C6" w:rsidRPr="008D3E3A" w:rsidRDefault="00A263C6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5EC1FBC0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Департаменти обласної державної адміністрації:</w:t>
            </w:r>
          </w:p>
          <w:p w14:paraId="52E3E704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 питань цивільного захисту та оборонної роботи;</w:t>
            </w:r>
          </w:p>
          <w:p w14:paraId="0C225E5F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інфраструктури;</w:t>
            </w:r>
          </w:p>
          <w:p w14:paraId="1D8B14CB" w14:textId="77777777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обласної державної адміністрації:</w:t>
            </w:r>
          </w:p>
          <w:p w14:paraId="7BA95EA6" w14:textId="77777777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внутрішньої та інформаційної політики;</w:t>
            </w:r>
          </w:p>
          <w:p w14:paraId="2BA0FB45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інформаційних технологій;</w:t>
            </w:r>
          </w:p>
          <w:p w14:paraId="59D44E5F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Головне управління ДСНС України у Херсонській області (за згодою);</w:t>
            </w:r>
          </w:p>
          <w:p w14:paraId="40CF7737" w14:textId="77777777" w:rsidR="00A263C6" w:rsidRPr="008D3E3A" w:rsidRDefault="00A263C6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721D579D" w14:textId="77777777" w:rsidR="00A263C6" w:rsidRPr="001A3D6C" w:rsidRDefault="00A263C6" w:rsidP="008803C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6AB70BAF" w14:textId="77777777" w:rsidR="00A263C6" w:rsidRPr="001A3D6C" w:rsidRDefault="00A263C6" w:rsidP="008803CD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0B4816EA" w14:textId="77777777" w:rsidR="00A263C6" w:rsidRPr="008803CD" w:rsidRDefault="00A263C6" w:rsidP="00175432">
            <w:pPr>
              <w:spacing w:line="228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91" w:type="dxa"/>
          </w:tcPr>
          <w:p w14:paraId="67A3B66B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Результати моніторингу </w:t>
            </w:r>
            <w:r w:rsidRPr="008803CD">
              <w:rPr>
                <w:rFonts w:ascii="Times New Roman" w:hAnsi="Times New Roman"/>
                <w:sz w:val="24"/>
                <w:szCs w:val="24"/>
              </w:rPr>
              <w:t>опубліковано на офіційних вебсайтах обласної, районних державних адміністрацій, органів місцевого самоврядування (відповідальних виконавців)</w:t>
            </w:r>
          </w:p>
          <w:p w14:paraId="0E9A158B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3933D6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867760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E8787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1FDDE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34ED7D" w14:textId="77777777" w:rsidR="00A263C6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7A4F5" w14:textId="77777777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3C6" w:rsidRPr="008D3E3A" w14:paraId="79D24D13" w14:textId="77777777" w:rsidTr="00423333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52AE" w14:textId="77777777" w:rsidR="00A263C6" w:rsidRPr="008D3E3A" w:rsidRDefault="00A263C6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C9B5" w14:textId="77777777" w:rsidR="00A263C6" w:rsidRPr="008D3E3A" w:rsidRDefault="00A263C6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</w:tcBorders>
          </w:tcPr>
          <w:p w14:paraId="204CFF32" w14:textId="77777777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2. Проведення інформування населення про сховища в населених пунктах, обладнані для перебування в них осіб з інвалідністю та інших маломобільних груп населення</w:t>
            </w:r>
          </w:p>
        </w:tc>
        <w:tc>
          <w:tcPr>
            <w:tcW w:w="1260" w:type="dxa"/>
          </w:tcPr>
          <w:p w14:paraId="44E6DDDB" w14:textId="77777777" w:rsidR="00A263C6" w:rsidRPr="008D3E3A" w:rsidRDefault="00A263C6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14:paraId="67D9F957" w14:textId="77777777" w:rsidR="00A263C6" w:rsidRPr="008D3E3A" w:rsidRDefault="00A263C6" w:rsidP="00D80BA1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0" w:type="dxa"/>
          </w:tcPr>
          <w:p w14:paraId="303F7631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Департаменти обласної державної адміністрації:</w:t>
            </w:r>
          </w:p>
          <w:p w14:paraId="0DA60BBF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 питань цивільного захисту та оборонної роботи;</w:t>
            </w:r>
          </w:p>
          <w:p w14:paraId="361D5EFA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інфраструктури;</w:t>
            </w:r>
          </w:p>
          <w:p w14:paraId="1FD16654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Головне управління ДСНС України у Херсонській області (за згодою);</w:t>
            </w:r>
          </w:p>
          <w:p w14:paraId="3F4F5F43" w14:textId="77777777" w:rsidR="00A263C6" w:rsidRPr="008D3E3A" w:rsidRDefault="00A263C6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63065066" w14:textId="77777777" w:rsidR="00A263C6" w:rsidRPr="001A3D6C" w:rsidRDefault="00A263C6" w:rsidP="0022603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044748B4" w14:textId="77777777" w:rsidR="00A263C6" w:rsidRPr="001A3D6C" w:rsidRDefault="00A263C6" w:rsidP="0022603B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3DBCC73B" w14:textId="77777777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E33F1DC" w14:textId="77777777" w:rsidR="00A263C6" w:rsidRPr="008D3E3A" w:rsidRDefault="00A263C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Відомості про сховища розміщено на інформаційних ресурсах</w:t>
            </w:r>
            <w:r w:rsidRPr="00D80BA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80BA1">
              <w:rPr>
                <w:rFonts w:ascii="Times New Roman" w:hAnsi="Times New Roman"/>
                <w:sz w:val="24"/>
                <w:szCs w:val="24"/>
              </w:rPr>
              <w:t>органів влади та органів місцевого самоврядування</w:t>
            </w:r>
          </w:p>
        </w:tc>
      </w:tr>
      <w:tr w:rsidR="00663DA8" w:rsidRPr="008D3E3A" w14:paraId="2D0ED24C" w14:textId="77777777" w:rsidTr="00423333">
        <w:tc>
          <w:tcPr>
            <w:tcW w:w="5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E3CF09" w14:textId="477B1C30" w:rsidR="00175432" w:rsidRPr="008D3E3A" w:rsidRDefault="000433EA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8A4CEF" w14:textId="49924140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доступності</w:t>
            </w: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закладів/установ системи соціального захисту</w:t>
            </w:r>
          </w:p>
          <w:p w14:paraId="45B63D4C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14:paraId="7B5A6998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моніторингу із забезпечення дотримання вимог щодо безбар’єрності закладів/установ системи соціального захисту населення області</w:t>
            </w:r>
          </w:p>
        </w:tc>
        <w:tc>
          <w:tcPr>
            <w:tcW w:w="1260" w:type="dxa"/>
            <w:shd w:val="clear" w:color="auto" w:fill="FFFFFF" w:themeFill="background1"/>
          </w:tcPr>
          <w:p w14:paraId="5691D604" w14:textId="77777777" w:rsidR="00175432" w:rsidRPr="008D3E3A" w:rsidRDefault="00D80BA1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="00175432"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квартал</w:t>
            </w:r>
          </w:p>
          <w:p w14:paraId="33CC4393" w14:textId="77777777" w:rsidR="00175432" w:rsidRPr="008D3E3A" w:rsidRDefault="00D80BA1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2022</w:t>
            </w:r>
            <w:r w:rsidR="00175432"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3E493C5D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Департамент соціального розвитку обласної державної адміністрації;</w:t>
            </w:r>
          </w:p>
          <w:p w14:paraId="1A9D8D16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обласної державної адміністрації:</w:t>
            </w:r>
          </w:p>
          <w:p w14:paraId="293A3B8B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внутрішньої та інформаційної політики;</w:t>
            </w:r>
          </w:p>
          <w:p w14:paraId="3A0AFFF7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інформаційних технологій</w:t>
            </w:r>
          </w:p>
        </w:tc>
        <w:tc>
          <w:tcPr>
            <w:tcW w:w="1876" w:type="dxa"/>
            <w:shd w:val="clear" w:color="auto" w:fill="FFFFFF" w:themeFill="background1"/>
          </w:tcPr>
          <w:p w14:paraId="530A709C" w14:textId="77777777" w:rsidR="00B4202F" w:rsidRPr="001A3D6C" w:rsidRDefault="00B4202F" w:rsidP="00B4202F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528EEE42" w14:textId="77777777" w:rsidR="00175432" w:rsidRPr="001A3D6C" w:rsidRDefault="00B4202F" w:rsidP="00B4202F">
            <w:pPr>
              <w:spacing w:line="228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FFFFFF" w:themeFill="background1"/>
          </w:tcPr>
          <w:p w14:paraId="50572ECB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3BAB1343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Результати моніторингу опубліковано на офіційних вебсайтах органів влади та органів місцевого самоврядування</w:t>
            </w:r>
          </w:p>
        </w:tc>
      </w:tr>
      <w:tr w:rsidR="00984127" w:rsidRPr="008D3E3A" w14:paraId="67E9B58A" w14:textId="77777777" w:rsidTr="00423333">
        <w:tc>
          <w:tcPr>
            <w:tcW w:w="516" w:type="dxa"/>
            <w:shd w:val="clear" w:color="auto" w:fill="FFFFFF" w:themeFill="background1"/>
          </w:tcPr>
          <w:p w14:paraId="2CA68919" w14:textId="351CC61E" w:rsidR="00175432" w:rsidRPr="008D3E3A" w:rsidRDefault="000433EA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0" w:type="dxa"/>
            <w:shd w:val="clear" w:color="auto" w:fill="FFFFFF" w:themeFill="background1"/>
          </w:tcPr>
          <w:p w14:paraId="0BE6559C" w14:textId="2C3FFD69" w:rsidR="00175432" w:rsidRPr="008D3E3A" w:rsidRDefault="00175432" w:rsidP="00D80BA1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Пристосування головних входів до будівель обласної та районних державних адміністрацій, а також до адміністративних будівель територіальних громад для використання особами з інвалідністю</w:t>
            </w:r>
          </w:p>
        </w:tc>
        <w:tc>
          <w:tcPr>
            <w:tcW w:w="2649" w:type="dxa"/>
            <w:shd w:val="clear" w:color="auto" w:fill="FFFFFF" w:themeFill="background1"/>
          </w:tcPr>
          <w:p w14:paraId="1E6EE6C4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Проведення відповідних будівельних/ремонтних робіт</w:t>
            </w:r>
          </w:p>
          <w:p w14:paraId="1F979D4F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67AAAB5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AF38E68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CAB35DF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7F3EA338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IV квартал</w:t>
            </w:r>
          </w:p>
          <w:p w14:paraId="21089B40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62389C1F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Районні державні адміністрації;</w:t>
            </w:r>
          </w:p>
          <w:p w14:paraId="30CA421B" w14:textId="77777777" w:rsidR="00175432" w:rsidRPr="008D3E3A" w:rsidRDefault="00175432" w:rsidP="00175432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</w:t>
            </w:r>
            <w:r w:rsidR="00D80BA1">
              <w:rPr>
                <w:rFonts w:ascii="Times New Roman" w:hAnsi="Times New Roman"/>
                <w:sz w:val="24"/>
                <w:szCs w:val="24"/>
              </w:rPr>
              <w:t>ищні, сільські ради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5A56CE6A" w14:textId="77777777" w:rsidR="00423333" w:rsidRDefault="00423333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992B9" w14:textId="77777777" w:rsidR="00423333" w:rsidRDefault="00423333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E915B" w14:textId="77777777" w:rsidR="00175432" w:rsidRPr="001A3D6C" w:rsidRDefault="00AB1E58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Місцеві </w:t>
            </w:r>
            <w:r w:rsidR="00CF6474" w:rsidRPr="001A3D6C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1FDB3B35" w14:textId="77777777" w:rsidR="00B52C66" w:rsidRPr="001A3D6C" w:rsidRDefault="00B52C66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B3081" w14:textId="77777777" w:rsidR="001A3D6C" w:rsidRDefault="00F819FA" w:rsidP="00F819FA">
            <w:pPr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Інші </w:t>
            </w:r>
          </w:p>
          <w:p w14:paraId="69008CF1" w14:textId="77777777" w:rsidR="00CB77F0" w:rsidRPr="001A3D6C" w:rsidRDefault="00F819FA" w:rsidP="00F819F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color w:val="000000"/>
                <w:sz w:val="24"/>
                <w:szCs w:val="24"/>
              </w:rPr>
              <w:t>джер</w:t>
            </w:r>
            <w:r w:rsidR="001A3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ела </w:t>
            </w:r>
            <w:r w:rsidRPr="001A3D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shd w:val="clear" w:color="auto" w:fill="FFFFFF" w:themeFill="background1"/>
          </w:tcPr>
          <w:p w14:paraId="552BEFB6" w14:textId="77777777" w:rsidR="00423333" w:rsidRDefault="00423333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98041E" w14:textId="77777777" w:rsidR="00423333" w:rsidRDefault="00423333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E2B510" w14:textId="77777777" w:rsidR="00CB77F0" w:rsidRPr="001A3D6C" w:rsidRDefault="00BE223C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340,0</w:t>
            </w:r>
          </w:p>
          <w:p w14:paraId="0748E934" w14:textId="77777777" w:rsidR="00CB77F0" w:rsidRPr="001A3D6C" w:rsidRDefault="00CB77F0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2720D2" w14:textId="77777777" w:rsidR="00BE223C" w:rsidRPr="001A3D6C" w:rsidRDefault="00BE223C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2E337" w14:textId="77777777" w:rsidR="00CB77F0" w:rsidRPr="001A3D6C" w:rsidRDefault="00CB77F0" w:rsidP="001A3D6C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291" w:type="dxa"/>
            <w:shd w:val="clear" w:color="auto" w:fill="FFFFFF" w:themeFill="background1"/>
          </w:tcPr>
          <w:p w14:paraId="5873A765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Забезпечено встановлення пандусів, тактильної плитки, поручнів, адаптацію вхідних дверей для осіб з інвалідністю</w:t>
            </w:r>
          </w:p>
        </w:tc>
      </w:tr>
      <w:tr w:rsidR="00663DA8" w:rsidRPr="008D3E3A" w14:paraId="4A1B1287" w14:textId="77777777" w:rsidTr="00423333">
        <w:tc>
          <w:tcPr>
            <w:tcW w:w="516" w:type="dxa"/>
            <w:shd w:val="clear" w:color="auto" w:fill="FFFFFF" w:themeFill="background1"/>
          </w:tcPr>
          <w:p w14:paraId="0BE665E6" w14:textId="711FB320" w:rsidR="00175432" w:rsidRPr="008D3E3A" w:rsidRDefault="000433EA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40" w:type="dxa"/>
            <w:shd w:val="clear" w:color="auto" w:fill="FFFFFF" w:themeFill="background1"/>
          </w:tcPr>
          <w:p w14:paraId="20DFD836" w14:textId="3B24AA5D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Дотримання принципів безбар’єрності на об’єктах, що будуються відповідно до проєктів «Велике будівництво», «Велика реконструкція», «25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спортивних магнітів», «Активні парки – локації здорової України»</w:t>
            </w:r>
          </w:p>
        </w:tc>
        <w:tc>
          <w:tcPr>
            <w:tcW w:w="2649" w:type="dxa"/>
            <w:shd w:val="clear" w:color="auto" w:fill="FFFFFF" w:themeFill="background1"/>
          </w:tcPr>
          <w:p w14:paraId="4676572C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дотримання принципів безбар’єрності на об’єктах, що будуються відповідно до проєктів «Велике будівництво», «Велика реконструкція», «25 спортивних магнітів», «Активні парки –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локації здорової України»</w:t>
            </w:r>
          </w:p>
        </w:tc>
        <w:tc>
          <w:tcPr>
            <w:tcW w:w="1260" w:type="dxa"/>
            <w:shd w:val="clear" w:color="auto" w:fill="FFFFFF" w:themeFill="background1"/>
          </w:tcPr>
          <w:p w14:paraId="44FB1EBB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2300" w:type="dxa"/>
            <w:shd w:val="clear" w:color="auto" w:fill="FFFFFF" w:themeFill="background1"/>
          </w:tcPr>
          <w:p w14:paraId="70D6CD6A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Департаменти обласної державної адміністрації:</w:t>
            </w:r>
          </w:p>
          <w:p w14:paraId="7B934168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розвитку територій;</w:t>
            </w:r>
          </w:p>
          <w:p w14:paraId="5B41342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інфраструктури;</w:t>
            </w:r>
          </w:p>
          <w:p w14:paraId="6F7BBD3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фізичної культури, молоді та спорту обласної державної адміністрації</w:t>
            </w:r>
          </w:p>
        </w:tc>
        <w:tc>
          <w:tcPr>
            <w:tcW w:w="1876" w:type="dxa"/>
            <w:shd w:val="clear" w:color="auto" w:fill="FFFFFF" w:themeFill="background1"/>
          </w:tcPr>
          <w:p w14:paraId="79171EDA" w14:textId="77777777" w:rsidR="00175432" w:rsidRPr="001A3D6C" w:rsidRDefault="0008289B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  <w:r w:rsidR="00466CCD" w:rsidRPr="001A3D6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0787D0" w14:textId="77777777" w:rsidR="00466CCD" w:rsidRPr="001A3D6C" w:rsidRDefault="00466CCD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1723" w:type="dxa"/>
            <w:shd w:val="clear" w:color="auto" w:fill="FFFFFF" w:themeFill="background1"/>
          </w:tcPr>
          <w:p w14:paraId="46F1D85B" w14:textId="77777777" w:rsidR="00466CCD" w:rsidRPr="001A3D6C" w:rsidRDefault="00466CCD" w:rsidP="00CB3AC8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3AC8" w:rsidRPr="001A3D6C">
              <w:rPr>
                <w:rFonts w:ascii="Times New Roman" w:hAnsi="Times New Roman"/>
                <w:sz w:val="24"/>
                <w:szCs w:val="24"/>
              </w:rPr>
              <w:t xml:space="preserve">обсягах фінансування, передбаченого на реалізацію проектів </w:t>
            </w:r>
          </w:p>
        </w:tc>
        <w:tc>
          <w:tcPr>
            <w:tcW w:w="2291" w:type="dxa"/>
            <w:shd w:val="clear" w:color="auto" w:fill="FFFFFF" w:themeFill="background1"/>
          </w:tcPr>
          <w:p w14:paraId="4705F1D3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Забезпечено додержання ДБН </w:t>
            </w: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В.2.2-40:2018 «Інклюзивність будівель і споруд»</w:t>
            </w:r>
            <w:r w:rsidR="00D80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80BA1" w:rsidRPr="00D80B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об’єктах, що будуються</w:t>
            </w:r>
          </w:p>
        </w:tc>
      </w:tr>
      <w:tr w:rsidR="00663DA8" w:rsidRPr="008D3E3A" w14:paraId="57CF24E5" w14:textId="77777777" w:rsidTr="00423333">
        <w:tc>
          <w:tcPr>
            <w:tcW w:w="516" w:type="dxa"/>
          </w:tcPr>
          <w:p w14:paraId="0BA2ADF2" w14:textId="50FA3478" w:rsidR="00175432" w:rsidRPr="008D3E3A" w:rsidRDefault="000433EA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40" w:type="dxa"/>
          </w:tcPr>
          <w:p w14:paraId="7AF7DBC7" w14:textId="6C88C39A" w:rsidR="00175432" w:rsidRPr="008D3E3A" w:rsidRDefault="00175432" w:rsidP="00D80BA1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Проведення широких інформаційно-просвітницьких кампаній для працівників державних та комунальних установ, організацій, професійних спільнот та громадськості на всіх рівнях щодо політики безбар’єрності та недискримінації</w:t>
            </w:r>
          </w:p>
        </w:tc>
        <w:tc>
          <w:tcPr>
            <w:tcW w:w="2649" w:type="dxa"/>
          </w:tcPr>
          <w:p w14:paraId="11B74A58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Проведення циклів вебінарів для працівників державних та комунальних закладів культури і закладів освіти сфери культури щодо політики безбар’єрності та недискримінації</w:t>
            </w:r>
          </w:p>
        </w:tc>
        <w:tc>
          <w:tcPr>
            <w:tcW w:w="1260" w:type="dxa"/>
          </w:tcPr>
          <w:p w14:paraId="3FABDEEC" w14:textId="77777777" w:rsidR="00175432" w:rsidRPr="008D3E3A" w:rsidRDefault="00D80BA1" w:rsidP="00D80BA1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рік</w:t>
            </w:r>
          </w:p>
        </w:tc>
        <w:tc>
          <w:tcPr>
            <w:tcW w:w="2300" w:type="dxa"/>
          </w:tcPr>
          <w:p w14:paraId="3F93CC1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 реалізації гуманітарної політики о</w:t>
            </w:r>
            <w:r w:rsidR="00D80BA1">
              <w:rPr>
                <w:rFonts w:ascii="Times New Roman" w:hAnsi="Times New Roman"/>
                <w:sz w:val="24"/>
                <w:szCs w:val="24"/>
              </w:rPr>
              <w:t>бласної державної адміністрації,</w:t>
            </w:r>
          </w:p>
          <w:p w14:paraId="240A6036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громадські організації (за згодою)</w:t>
            </w:r>
          </w:p>
        </w:tc>
        <w:tc>
          <w:tcPr>
            <w:tcW w:w="1876" w:type="dxa"/>
          </w:tcPr>
          <w:p w14:paraId="3D19ABC5" w14:textId="77777777" w:rsidR="00175432" w:rsidRPr="001A3D6C" w:rsidRDefault="0022603B" w:rsidP="00032D3F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  <w:r w:rsidR="00032D3F" w:rsidRPr="001A3D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</w:tcPr>
          <w:p w14:paraId="1CDF683B" w14:textId="77777777" w:rsidR="00175432" w:rsidRPr="001A3D6C" w:rsidRDefault="0022603B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2291" w:type="dxa"/>
          </w:tcPr>
          <w:p w14:paraId="41AE53BC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Проведено цикл вебінарів для працівників державних та комунальних закладів культури та закладів освіти сфери культури щодо політики бе</w:t>
            </w:r>
            <w:r w:rsidR="00D80BA1">
              <w:rPr>
                <w:rFonts w:ascii="Times New Roman" w:hAnsi="Times New Roman"/>
                <w:sz w:val="24"/>
                <w:szCs w:val="24"/>
              </w:rPr>
              <w:t>збар’єрності та недискримінації</w:t>
            </w:r>
          </w:p>
        </w:tc>
      </w:tr>
      <w:tr w:rsidR="00663DA8" w:rsidRPr="008D3E3A" w14:paraId="35FE6894" w14:textId="77777777" w:rsidTr="00423333">
        <w:tc>
          <w:tcPr>
            <w:tcW w:w="516" w:type="dxa"/>
            <w:shd w:val="clear" w:color="auto" w:fill="FFFFFF" w:themeFill="background1"/>
          </w:tcPr>
          <w:p w14:paraId="40C7379D" w14:textId="6E39E313" w:rsidR="00175432" w:rsidRPr="008D3E3A" w:rsidRDefault="000433EA" w:rsidP="000433E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2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shd w:val="clear" w:color="auto" w:fill="FFFFFF" w:themeFill="background1"/>
          </w:tcPr>
          <w:p w14:paraId="35AD5462" w14:textId="4008B99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підвищення рівня поінформованості населення, осіб похилого віку, з інвалідністю про</w:t>
            </w:r>
          </w:p>
          <w:p w14:paraId="558AFEFA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захист їх прав та забезпечення відповідними соціальними послугами через засоби масової інформації області та вебсайти обласної та районних державних адміністрацій,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сільських, селищних та міських рад</w:t>
            </w:r>
          </w:p>
        </w:tc>
        <w:tc>
          <w:tcPr>
            <w:tcW w:w="2649" w:type="dxa"/>
            <w:shd w:val="clear" w:color="auto" w:fill="FFFFFF" w:themeFill="background1"/>
          </w:tcPr>
          <w:p w14:paraId="5064B2AF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Сприяти підвищенню рівня поінформованості населення, осіб похилого віку, осіб з інвалідністю про</w:t>
            </w:r>
          </w:p>
          <w:p w14:paraId="4227B2B3" w14:textId="77777777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захист їх прав та забезпечення відповідними соціальними послугами через засоби масової інформації області та вебсайти обласної та районних державних адміністрацій,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сільських, селищних та міських рад</w:t>
            </w:r>
          </w:p>
        </w:tc>
        <w:tc>
          <w:tcPr>
            <w:tcW w:w="1260" w:type="dxa"/>
            <w:shd w:val="clear" w:color="auto" w:fill="FFFFFF" w:themeFill="background1"/>
          </w:tcPr>
          <w:p w14:paraId="07FF4FAD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300" w:type="dxa"/>
            <w:shd w:val="clear" w:color="auto" w:fill="FFFFFF" w:themeFill="background1"/>
          </w:tcPr>
          <w:p w14:paraId="68A060BC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 соціального розвитку обласної</w:t>
            </w:r>
          </w:p>
          <w:p w14:paraId="6BABF1AC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державної адміністрації;</w:t>
            </w:r>
          </w:p>
          <w:p w14:paraId="3E634A79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обласної державної адміністрації:</w:t>
            </w:r>
          </w:p>
          <w:p w14:paraId="022CC885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внутрішньої та інформаційної політики;</w:t>
            </w:r>
          </w:p>
          <w:p w14:paraId="0B155183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інформаційних технологій; </w:t>
            </w:r>
          </w:p>
          <w:p w14:paraId="4BE4D519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районні державні адміністрації;</w:t>
            </w:r>
          </w:p>
          <w:p w14:paraId="24D00DFF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 селищні, сільські ради (за</w:t>
            </w:r>
          </w:p>
          <w:p w14:paraId="5CB5A5BC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3FA3FCAE" w14:textId="77777777" w:rsidR="00CB3AC8" w:rsidRPr="001A3D6C" w:rsidRDefault="00CB3AC8" w:rsidP="00CB3AC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потребує </w:t>
            </w:r>
          </w:p>
          <w:p w14:paraId="112181D2" w14:textId="77777777" w:rsidR="00CB3AC8" w:rsidRPr="001A3D6C" w:rsidRDefault="00CB3AC8" w:rsidP="00CB3AC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FFFFFF" w:themeFill="background1"/>
          </w:tcPr>
          <w:p w14:paraId="4D7E0A43" w14:textId="77777777" w:rsidR="00175432" w:rsidRPr="007F0424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775C964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Створено на вебсайтах обласної та районних державних адміністрацій, сільських, селищних та міських рад відповідні розділи  </w:t>
            </w:r>
          </w:p>
        </w:tc>
      </w:tr>
      <w:tr w:rsidR="00663DA8" w:rsidRPr="008D3E3A" w14:paraId="67535904" w14:textId="77777777" w:rsidTr="00423333">
        <w:tc>
          <w:tcPr>
            <w:tcW w:w="516" w:type="dxa"/>
            <w:shd w:val="clear" w:color="auto" w:fill="FFFFFF" w:themeFill="background1"/>
          </w:tcPr>
          <w:p w14:paraId="7BFECB8E" w14:textId="67725749" w:rsidR="00175432" w:rsidRPr="000433EA" w:rsidRDefault="000433EA" w:rsidP="000433EA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440" w:type="dxa"/>
            <w:shd w:val="clear" w:color="auto" w:fill="FFFFFF" w:themeFill="background1"/>
          </w:tcPr>
          <w:p w14:paraId="78D405F6" w14:textId="09F7A400" w:rsidR="00175432" w:rsidRPr="008D3E3A" w:rsidRDefault="00175432" w:rsidP="007F0424">
            <w:pPr>
              <w:spacing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філії акціонерного товариства 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«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Національна суспільна телерадіокомпанія України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» «Херсонська регіональна дирекція «СКІФІЯ»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 сучасним обладнанням для титрування, перекладу на українську жестову мову та аудіодискрипції (тифлокоментування)</w:t>
            </w:r>
          </w:p>
        </w:tc>
        <w:tc>
          <w:tcPr>
            <w:tcW w:w="2649" w:type="dxa"/>
            <w:shd w:val="clear" w:color="auto" w:fill="FFFFFF" w:themeFill="background1"/>
          </w:tcPr>
          <w:p w14:paraId="78F5A67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Проведення аналізу наявного стану матеріально-технічної бази телерадіоорганізацій та визначення обсягу потреби в новому обладнанні для забезпечення титрування, перекладу на українську жестову мову та аудіодискрипції (тифлокоментування)</w:t>
            </w:r>
          </w:p>
        </w:tc>
        <w:tc>
          <w:tcPr>
            <w:tcW w:w="1260" w:type="dxa"/>
            <w:shd w:val="clear" w:color="auto" w:fill="FFFFFF" w:themeFill="background1"/>
          </w:tcPr>
          <w:p w14:paraId="030076C2" w14:textId="77777777" w:rsidR="00175432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До 30 червня  </w:t>
            </w:r>
          </w:p>
          <w:p w14:paraId="43D89B43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67C92851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внутрішньої та інформаційної політики обласної державної адміністрації;</w:t>
            </w:r>
          </w:p>
          <w:p w14:paraId="2B1C8724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філія акціонерного </w:t>
            </w:r>
          </w:p>
          <w:p w14:paraId="00793025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товариства «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Національна суспільна телерадіокомпанія України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» «Херсонська регіональна дирекція «СКІФІЯ»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4438BA88" w14:textId="77777777" w:rsidR="00CB3AC8" w:rsidRPr="001A3D6C" w:rsidRDefault="00CB3AC8" w:rsidP="00CB3AC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4F58CAFF" w14:textId="77777777" w:rsidR="00175432" w:rsidRPr="001A3D6C" w:rsidRDefault="00CB3AC8" w:rsidP="00CB3AC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FFFFFF" w:themeFill="background1"/>
          </w:tcPr>
          <w:p w14:paraId="1C708AE8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248D99D5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Підготовлено звіт за результатами проведення аналізу</w:t>
            </w:r>
            <w:r w:rsidR="007F0424">
              <w:rPr>
                <w:rFonts w:ascii="Times New Roman" w:hAnsi="Times New Roman"/>
                <w:sz w:val="24"/>
                <w:szCs w:val="24"/>
              </w:rPr>
              <w:t xml:space="preserve"> з визначенням </w:t>
            </w:r>
            <w:r w:rsidR="007F0424" w:rsidRPr="007F0424">
              <w:rPr>
                <w:rFonts w:ascii="Times New Roman" w:hAnsi="Times New Roman"/>
                <w:sz w:val="24"/>
                <w:szCs w:val="24"/>
              </w:rPr>
              <w:t>обсягу потреби в новому обладнанні</w:t>
            </w:r>
          </w:p>
        </w:tc>
      </w:tr>
      <w:tr w:rsidR="00984127" w:rsidRPr="008D3E3A" w14:paraId="68AC60C6" w14:textId="77777777" w:rsidTr="00423333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AEA17" w14:textId="67A70622" w:rsidR="00984127" w:rsidRDefault="005109DD" w:rsidP="005109D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31C99" w14:textId="1280C9D1" w:rsidR="00984127" w:rsidRPr="00CE171A" w:rsidRDefault="00423333" w:rsidP="00B65045">
            <w:pPr>
              <w:spacing w:line="228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</w:pPr>
            <w:r w:rsidRPr="00423333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підключення закладів соціальної інфраструктури та органів місцевого самоврядування до широкосмугового доступу до Інтернету із швидкістю не менше 100 Мбіт/с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ACBB73" w14:textId="77777777" w:rsidR="00984127" w:rsidRPr="008D3E3A" w:rsidRDefault="00984127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Забезпечення підключення закладів культури та освіти сфери культури до широкосмугового доступу до Інтернету із швидкістю не менше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100 Мбіт/с</w:t>
            </w:r>
          </w:p>
        </w:tc>
        <w:tc>
          <w:tcPr>
            <w:tcW w:w="1260" w:type="dxa"/>
            <w:shd w:val="clear" w:color="auto" w:fill="FFFFFF" w:themeFill="background1"/>
          </w:tcPr>
          <w:p w14:paraId="3DA00884" w14:textId="77777777" w:rsidR="00422C28" w:rsidRDefault="00422C28" w:rsidP="00422C28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До 20 грудня</w:t>
            </w:r>
          </w:p>
          <w:p w14:paraId="3F738359" w14:textId="77777777" w:rsidR="00984127" w:rsidRPr="008D3E3A" w:rsidRDefault="00422C28" w:rsidP="00422C28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4D82CD8A" w14:textId="77777777" w:rsidR="00422C28" w:rsidRPr="008D3E3A" w:rsidRDefault="00422C28" w:rsidP="00422C2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Департамент реалізації гуманітарної політики обласної державної адміністрації; управління обласної державної адміністрації: </w:t>
            </w:r>
          </w:p>
          <w:p w14:paraId="2E1409AA" w14:textId="77777777" w:rsidR="00422C28" w:rsidRPr="008D3E3A" w:rsidRDefault="00422C28" w:rsidP="00422C2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інформаційних технологій;</w:t>
            </w:r>
          </w:p>
          <w:p w14:paraId="51C39320" w14:textId="77777777" w:rsidR="00984127" w:rsidRPr="008D3E3A" w:rsidRDefault="00422C28" w:rsidP="00422C2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56F020B2" w14:textId="77777777" w:rsidR="00984127" w:rsidRPr="001A3D6C" w:rsidRDefault="00984127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  <w:p w14:paraId="55231FFC" w14:textId="77777777" w:rsidR="00984127" w:rsidRPr="001A3D6C" w:rsidRDefault="00984127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F8EDFC9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72C08AB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F55827B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E7B73EA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11A9992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4824D69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5E060AE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BE9BB24" w14:textId="77777777" w:rsidR="00423333" w:rsidRDefault="00423333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0BD3C4E" w14:textId="77777777" w:rsidR="00984127" w:rsidRPr="001A3D6C" w:rsidRDefault="00984127" w:rsidP="0098412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1723" w:type="dxa"/>
            <w:shd w:val="clear" w:color="auto" w:fill="FFFFFF" w:themeFill="background1"/>
          </w:tcPr>
          <w:p w14:paraId="66BF4936" w14:textId="77777777" w:rsidR="00984127" w:rsidRPr="001A3D6C" w:rsidRDefault="00984127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</w:rPr>
              <w:t>370,0</w:t>
            </w:r>
          </w:p>
          <w:p w14:paraId="53688464" w14:textId="77777777" w:rsidR="00984127" w:rsidRPr="001A3D6C" w:rsidRDefault="00984127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ABE01E" w14:textId="77777777" w:rsidR="00984127" w:rsidRPr="001A3D6C" w:rsidRDefault="00984127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1DF67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A439AD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4571B9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2891D0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86E969A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5947B11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42354F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303F488" w14:textId="77777777" w:rsidR="00423333" w:rsidRDefault="00423333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9C907A1" w14:textId="77777777" w:rsidR="001A3D6C" w:rsidRPr="001A3D6C" w:rsidRDefault="001A3D6C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D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84127" w:rsidRPr="001A3D6C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14:paraId="3036A001" w14:textId="77777777" w:rsidR="00984127" w:rsidRPr="001A3D6C" w:rsidRDefault="00984127" w:rsidP="001A3D6C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3AA50B39" w14:textId="77777777" w:rsidR="00984127" w:rsidRPr="008D3E3A" w:rsidRDefault="00984127" w:rsidP="00422C2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Збільшено частку забезпечення доступом до Інтернету із швидкістю не менше      100 Мбіт/с </w:t>
            </w:r>
            <w:r w:rsidR="00422C28" w:rsidRPr="008D3E3A">
              <w:rPr>
                <w:rFonts w:ascii="Times New Roman" w:hAnsi="Times New Roman"/>
                <w:sz w:val="24"/>
                <w:szCs w:val="24"/>
              </w:rPr>
              <w:t>закладів культури та освіти сфери культури</w:t>
            </w:r>
          </w:p>
        </w:tc>
      </w:tr>
      <w:tr w:rsidR="00663DA8" w:rsidRPr="008D3E3A" w14:paraId="2A7493F1" w14:textId="77777777" w:rsidTr="00423333">
        <w:tc>
          <w:tcPr>
            <w:tcW w:w="51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096851" w14:textId="2270DDDA" w:rsidR="00175432" w:rsidRPr="005109DD" w:rsidRDefault="005109DD" w:rsidP="005109D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F3C3D7" w14:textId="6204606D" w:rsidR="00175432" w:rsidRPr="008D3E3A" w:rsidRDefault="00175432" w:rsidP="00B65045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Забезпечення необхідним програмним </w:t>
            </w: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забезпеченням та засобами доступу до Інтернету осіб з інвалідністю, закладів освіти та культури, а також бібліотек та інших хабів у межах населених пунктів</w:t>
            </w:r>
          </w:p>
        </w:tc>
        <w:tc>
          <w:tcPr>
            <w:tcW w:w="2649" w:type="dxa"/>
            <w:shd w:val="clear" w:color="auto" w:fill="FFFFFF" w:themeFill="background1"/>
          </w:tcPr>
          <w:p w14:paraId="31ACF5D5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Забезпечення </w:t>
            </w: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осіб з інвалідністю,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бібліотек необхідним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програмним забезпеченням та засобами доступу до Інтернету </w:t>
            </w:r>
          </w:p>
        </w:tc>
        <w:tc>
          <w:tcPr>
            <w:tcW w:w="1260" w:type="dxa"/>
            <w:shd w:val="clear" w:color="auto" w:fill="FFFFFF" w:themeFill="background1"/>
          </w:tcPr>
          <w:p w14:paraId="535FC757" w14:textId="77777777" w:rsidR="00175432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20 грудня </w:t>
            </w:r>
          </w:p>
          <w:p w14:paraId="1C6F4214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7346BB33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Департамент реалізації гуманітарної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політики обласної державної адміністрації;</w:t>
            </w:r>
          </w:p>
          <w:p w14:paraId="7B888DB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40B24907" w14:textId="77777777" w:rsidR="00175432" w:rsidRPr="009779EF" w:rsidRDefault="0022603B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lastRenderedPageBreak/>
              <w:t>Обласний бюджет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12A86265" w14:textId="77777777" w:rsidR="00175432" w:rsidRPr="009779EF" w:rsidRDefault="0022603B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  <w:tc>
          <w:tcPr>
            <w:tcW w:w="2291" w:type="dxa"/>
            <w:shd w:val="clear" w:color="auto" w:fill="FFFFFF" w:themeFill="background1"/>
          </w:tcPr>
          <w:p w14:paraId="60D36FCA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Не менше однієї публічної бібліотеки</w:t>
            </w:r>
            <w:r w:rsidR="001E7C69">
              <w:rPr>
                <w:rFonts w:ascii="Times New Roman" w:hAnsi="Times New Roman"/>
                <w:sz w:val="24"/>
                <w:szCs w:val="24"/>
              </w:rPr>
              <w:t xml:space="preserve">, закладів </w:t>
            </w:r>
            <w:r w:rsidR="001E7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культури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в адміністративному центрі к</w:t>
            </w:r>
            <w:r w:rsidR="001E7C69">
              <w:rPr>
                <w:rFonts w:ascii="Times New Roman" w:hAnsi="Times New Roman"/>
                <w:sz w:val="24"/>
                <w:szCs w:val="24"/>
              </w:rPr>
              <w:t>ожної територіальної громади мають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власний вебсайт або сторінку в соціальних мережах, які адаптовані до доступу для </w:t>
            </w: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осіб з інвалідністю</w:t>
            </w:r>
          </w:p>
        </w:tc>
      </w:tr>
      <w:tr w:rsidR="00663DA8" w:rsidRPr="008D3E3A" w14:paraId="1C60B25C" w14:textId="77777777" w:rsidTr="00423333">
        <w:tc>
          <w:tcPr>
            <w:tcW w:w="516" w:type="dxa"/>
            <w:shd w:val="clear" w:color="auto" w:fill="FFFFFF" w:themeFill="background1"/>
          </w:tcPr>
          <w:p w14:paraId="555C4C2E" w14:textId="53767D5A" w:rsidR="00175432" w:rsidRPr="008D3E3A" w:rsidRDefault="005109DD" w:rsidP="005109D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40" w:type="dxa"/>
            <w:shd w:val="clear" w:color="auto" w:fill="FFFFFF" w:themeFill="background1"/>
          </w:tcPr>
          <w:p w14:paraId="50E3736D" w14:textId="0E4C58D6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Розвиток у системі освіти наскрізного принципу врахування соціальної залученості, недискримінації та поваги до прав людини, партиципації та згуртованості, у тому числі формальній та неформальній освіті, зокрема громадянській</w:t>
            </w:r>
          </w:p>
        </w:tc>
        <w:tc>
          <w:tcPr>
            <w:tcW w:w="2649" w:type="dxa"/>
            <w:shd w:val="clear" w:color="auto" w:fill="FFFFFF" w:themeFill="background1"/>
          </w:tcPr>
          <w:p w14:paraId="40CFF9F5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проведення освітніх заходів у закладах освіти з метою подолання психологічних бар’єрів відповідно до положень Конвенції про права осіб з інвалідністю, а також впровадження інклюзивних рішень та рівноцінного сприйняття осіб з інвалідністю у всіх колективах та всіма верствами населення </w:t>
            </w:r>
          </w:p>
        </w:tc>
        <w:tc>
          <w:tcPr>
            <w:tcW w:w="1260" w:type="dxa"/>
            <w:shd w:val="clear" w:color="auto" w:fill="FFFFFF" w:themeFill="background1"/>
          </w:tcPr>
          <w:p w14:paraId="05B51249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shd w:val="clear" w:color="auto" w:fill="FFFFFF" w:themeFill="background1"/>
          </w:tcPr>
          <w:p w14:paraId="0E8B2BAD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освіти і науки обласної державної</w:t>
            </w:r>
          </w:p>
          <w:p w14:paraId="0C174552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адміністрації: </w:t>
            </w:r>
          </w:p>
          <w:p w14:paraId="73CB1A7A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  <w:p w14:paraId="51C3A34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5C6084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47EF93DA" w14:textId="77777777" w:rsidR="002C48E5" w:rsidRPr="009779EF" w:rsidRDefault="002C48E5" w:rsidP="002C48E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4D07DB40" w14:textId="77777777" w:rsidR="00175432" w:rsidRPr="009779EF" w:rsidRDefault="002C48E5" w:rsidP="002C48E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FFFFFF" w:themeFill="background1"/>
          </w:tcPr>
          <w:p w14:paraId="417303E9" w14:textId="77777777" w:rsidR="00175432" w:rsidRPr="009779EF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7469DD6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Забезпечено проведення регулярних заходів </w:t>
            </w:r>
          </w:p>
        </w:tc>
      </w:tr>
      <w:tr w:rsidR="00663DA8" w:rsidRPr="008D3E3A" w14:paraId="5790E852" w14:textId="77777777" w:rsidTr="00423333">
        <w:tc>
          <w:tcPr>
            <w:tcW w:w="516" w:type="dxa"/>
            <w:shd w:val="clear" w:color="auto" w:fill="FFFFFF" w:themeFill="background1"/>
          </w:tcPr>
          <w:p w14:paraId="44A72E64" w14:textId="672FFE5E" w:rsidR="00175432" w:rsidRPr="00B65045" w:rsidRDefault="005109DD" w:rsidP="005109D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40" w:type="dxa"/>
            <w:shd w:val="clear" w:color="auto" w:fill="FFFFFF" w:themeFill="background1"/>
          </w:tcPr>
          <w:p w14:paraId="5CAB8A4B" w14:textId="3699CD8C" w:rsidR="00175432" w:rsidRPr="00B65045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Забезпечення інтеграції кримськотатарського народу в український соціальний простір шляхом надання постійного житла</w:t>
            </w:r>
          </w:p>
        </w:tc>
        <w:tc>
          <w:tcPr>
            <w:tcW w:w="2649" w:type="dxa"/>
            <w:shd w:val="clear" w:color="auto" w:fill="FFFFFF" w:themeFill="background1"/>
          </w:tcPr>
          <w:p w14:paraId="3BE54287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hAnsi="Times New Roman"/>
                <w:sz w:val="24"/>
                <w:szCs w:val="24"/>
              </w:rPr>
              <w:t xml:space="preserve">Забезпечення реалізації Рамкової Угоди між Урядом України та Урядом Турецької Республіки про співробітництво у сфері будівництва </w:t>
            </w:r>
            <w:r w:rsidRPr="00B65045">
              <w:rPr>
                <w:rFonts w:ascii="Times New Roman" w:hAnsi="Times New Roman"/>
                <w:sz w:val="24"/>
                <w:szCs w:val="24"/>
              </w:rPr>
              <w:lastRenderedPageBreak/>
              <w:t>житла для представників кримськотатарського народу та пільгових категорій громадян України</w:t>
            </w:r>
          </w:p>
        </w:tc>
        <w:tc>
          <w:tcPr>
            <w:tcW w:w="1260" w:type="dxa"/>
            <w:shd w:val="clear" w:color="auto" w:fill="FFFFFF" w:themeFill="background1"/>
          </w:tcPr>
          <w:p w14:paraId="6536025E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B6504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IV квартал</w:t>
            </w:r>
          </w:p>
          <w:p w14:paraId="6405BB5E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4AF20294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hAnsi="Times New Roman"/>
                <w:sz w:val="24"/>
                <w:szCs w:val="24"/>
              </w:rPr>
              <w:t>Департамент розвитку територій обласної державної адміністрації;</w:t>
            </w:r>
          </w:p>
          <w:p w14:paraId="4159C427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hAnsi="Times New Roman"/>
                <w:sz w:val="24"/>
                <w:szCs w:val="24"/>
              </w:rPr>
              <w:t xml:space="preserve">управління містобудування та архітектури </w:t>
            </w:r>
            <w:r w:rsidRPr="00B65045">
              <w:rPr>
                <w:rFonts w:ascii="Times New Roman" w:hAnsi="Times New Roman"/>
                <w:sz w:val="24"/>
                <w:szCs w:val="24"/>
              </w:rPr>
              <w:lastRenderedPageBreak/>
              <w:t>обласної державної адміністрації;</w:t>
            </w:r>
          </w:p>
          <w:p w14:paraId="2BC6E496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hAnsi="Times New Roman"/>
                <w:sz w:val="24"/>
                <w:szCs w:val="24"/>
              </w:rPr>
              <w:t>Херсонська міська рада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083C0EDC" w14:textId="77777777" w:rsidR="00175432" w:rsidRPr="009779EF" w:rsidRDefault="00685A7C" w:rsidP="00DA65B1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Інші </w:t>
            </w:r>
            <w:r w:rsidR="00DA65B1">
              <w:rPr>
                <w:rFonts w:ascii="Times New Roman" w:hAnsi="Times New Roman"/>
                <w:sz w:val="24"/>
                <w:szCs w:val="24"/>
              </w:rPr>
              <w:t>джерела</w:t>
            </w:r>
          </w:p>
        </w:tc>
        <w:tc>
          <w:tcPr>
            <w:tcW w:w="1723" w:type="dxa"/>
            <w:shd w:val="clear" w:color="auto" w:fill="FFFFFF" w:themeFill="background1"/>
          </w:tcPr>
          <w:p w14:paraId="0312C287" w14:textId="77777777" w:rsidR="00175432" w:rsidRPr="00131717" w:rsidRDefault="00685A7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>Фінансується Урядом Турецької Республіки</w:t>
            </w:r>
          </w:p>
        </w:tc>
        <w:tc>
          <w:tcPr>
            <w:tcW w:w="2291" w:type="dxa"/>
            <w:shd w:val="clear" w:color="auto" w:fill="FFFFFF" w:themeFill="background1"/>
          </w:tcPr>
          <w:p w14:paraId="01BD55CA" w14:textId="77777777" w:rsidR="00175432" w:rsidRPr="00B65045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045">
              <w:rPr>
                <w:rFonts w:ascii="Times New Roman" w:hAnsi="Times New Roman"/>
                <w:sz w:val="24"/>
                <w:szCs w:val="24"/>
              </w:rPr>
              <w:t>Забезпечено будівництво 200 квартир в місті Херсоні</w:t>
            </w:r>
          </w:p>
        </w:tc>
      </w:tr>
      <w:tr w:rsidR="00663DA8" w:rsidRPr="008D3E3A" w14:paraId="4F0B0F01" w14:textId="77777777" w:rsidTr="00423333">
        <w:tc>
          <w:tcPr>
            <w:tcW w:w="5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2D7CA1" w14:textId="7AB2CBC1" w:rsidR="00175432" w:rsidRPr="008D3E3A" w:rsidRDefault="005109DD" w:rsidP="005109DD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325CD" w14:textId="198B5AAF" w:rsidR="00175432" w:rsidRPr="008D3E3A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Підвищення рівня обізнаності державних службовців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та посадових осіб місцевого самоврядування</w:t>
            </w:r>
            <w:r w:rsidRPr="008D3E3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щодо прав осіб з інвалідністю, універсального дизайну і доступності</w:t>
            </w:r>
          </w:p>
        </w:tc>
        <w:tc>
          <w:tcPr>
            <w:tcW w:w="2649" w:type="dxa"/>
            <w:shd w:val="clear" w:color="auto" w:fill="FFFFFF" w:themeFill="background1"/>
          </w:tcPr>
          <w:p w14:paraId="4A9DDFF2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проведення навчання державних службовців та посадових осіб місцевого самоврядування за програмами підвищення кваліфікації із вивчення положень Конвенції про права осіб з інвалідністю, універсального дизайну і доступності</w:t>
            </w:r>
          </w:p>
        </w:tc>
        <w:tc>
          <w:tcPr>
            <w:tcW w:w="1260" w:type="dxa"/>
            <w:shd w:val="clear" w:color="auto" w:fill="FFFFFF" w:themeFill="background1"/>
          </w:tcPr>
          <w:p w14:paraId="25A522C7" w14:textId="77777777" w:rsidR="00175432" w:rsidRPr="008D3E3A" w:rsidRDefault="00175432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shd w:val="clear" w:color="auto" w:fill="FFFFFF" w:themeFill="background1"/>
          </w:tcPr>
          <w:p w14:paraId="4B33FA4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Херсонський регіональний центр підвищення кваліфікації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876" w:type="dxa"/>
            <w:shd w:val="clear" w:color="auto" w:fill="FFFFFF" w:themeFill="background1"/>
          </w:tcPr>
          <w:p w14:paraId="2415EC75" w14:textId="77777777" w:rsidR="00B65045" w:rsidRPr="009779EF" w:rsidRDefault="00B65045" w:rsidP="00B6504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781D1CD7" w14:textId="77777777" w:rsidR="00175432" w:rsidRPr="009779EF" w:rsidRDefault="00B65045" w:rsidP="00B6504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FFFFFF" w:themeFill="background1"/>
          </w:tcPr>
          <w:p w14:paraId="0FE86A3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6240124D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Підвищено кваліфікацію державних службовців та посадових осіб місцевого самоврядування</w:t>
            </w:r>
          </w:p>
        </w:tc>
      </w:tr>
      <w:tr w:rsidR="00054C5F" w:rsidRPr="008D3E3A" w14:paraId="7927BCDB" w14:textId="77777777" w:rsidTr="00423333"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B7CF1" w14:textId="22778B12" w:rsidR="00054C5F" w:rsidRPr="008D3E3A" w:rsidRDefault="00A261C6" w:rsidP="00A263C6">
            <w:pPr>
              <w:pStyle w:val="a5"/>
              <w:spacing w:line="228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512C0" w14:textId="1D4E00AF" w:rsidR="00054C5F" w:rsidRPr="008D3E3A" w:rsidRDefault="00054C5F" w:rsidP="00A263C6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Запровадження комплексних реабілітаційних та абілітаційних послуг, спрямованих на підвищення якості життя, активності, працездатності та залучення в усі форми суспільного життя</w:t>
            </w:r>
          </w:p>
          <w:p w14:paraId="62AD2A7D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843D5FA" w14:textId="77777777" w:rsidR="00054C5F" w:rsidRPr="008D3E3A" w:rsidRDefault="00054C5F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. Здійснення контролю щодо забезпечення осіб з інвалідністю, дітей з інвалідністю технічними та іншими засобами реабілітації, реабілітаційними послугами,</w:t>
            </w:r>
          </w:p>
          <w:p w14:paraId="4D74A61F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санаторно-курортним оздоровленням</w:t>
            </w:r>
          </w:p>
        </w:tc>
        <w:tc>
          <w:tcPr>
            <w:tcW w:w="1260" w:type="dxa"/>
            <w:shd w:val="clear" w:color="auto" w:fill="FFFFFF" w:themeFill="background1"/>
          </w:tcPr>
          <w:p w14:paraId="0F15C5FC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shd w:val="clear" w:color="auto" w:fill="FFFFFF" w:themeFill="background1"/>
          </w:tcPr>
          <w:p w14:paraId="51591C67" w14:textId="77777777" w:rsidR="00054C5F" w:rsidRPr="008D3E3A" w:rsidRDefault="00054C5F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Департамент соціального розвитку обласної державної адміністрації; </w:t>
            </w:r>
          </w:p>
          <w:p w14:paraId="62A37CAC" w14:textId="77777777" w:rsidR="00054C5F" w:rsidRPr="008D3E3A" w:rsidRDefault="00054C5F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районні державні адміністрації;</w:t>
            </w:r>
          </w:p>
          <w:p w14:paraId="34F2C9D9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 ради (за згодою), районні у м. Херсоні ради (за згодою)</w:t>
            </w:r>
          </w:p>
          <w:p w14:paraId="61364ADE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color w:val="00B0F0"/>
                <w:sz w:val="24"/>
                <w:szCs w:val="24"/>
                <w:lang w:eastAsia="uk-UA"/>
              </w:rPr>
            </w:pPr>
          </w:p>
        </w:tc>
        <w:tc>
          <w:tcPr>
            <w:tcW w:w="1876" w:type="dxa"/>
            <w:shd w:val="clear" w:color="auto" w:fill="FFFFFF" w:themeFill="background1"/>
          </w:tcPr>
          <w:p w14:paraId="7AE319F6" w14:textId="77777777" w:rsidR="00054C5F" w:rsidRPr="009779EF" w:rsidRDefault="00131717" w:rsidP="003C3304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567E11C" w14:textId="77777777" w:rsidR="00131717" w:rsidRPr="009779EF" w:rsidRDefault="00131717" w:rsidP="00131717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9779EF">
              <w:rPr>
                <w:rFonts w:ascii="Times New Roman" w:eastAsia="Calibri" w:hAnsi="Times New Roman"/>
                <w:sz w:val="22"/>
                <w:szCs w:val="22"/>
              </w:rPr>
              <w:t>Фінансується</w:t>
            </w:r>
          </w:p>
          <w:p w14:paraId="2D33DAFF" w14:textId="77777777" w:rsidR="00054C5F" w:rsidRPr="009779EF" w:rsidRDefault="00131717" w:rsidP="0013171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00B0F0"/>
                <w:sz w:val="22"/>
                <w:szCs w:val="22"/>
              </w:rPr>
            </w:pPr>
            <w:r w:rsidRPr="009779EF">
              <w:rPr>
                <w:rFonts w:ascii="Times New Roman" w:eastAsia="Calibri" w:hAnsi="Times New Roman"/>
                <w:sz w:val="22"/>
                <w:szCs w:val="22"/>
              </w:rPr>
              <w:t>з державного бюджету в рамках реалізації заходів Програм «Заходи із соціальної, трудової та професійної реабілітації» та «Реабілітація дітей з інвалідністю»</w:t>
            </w:r>
          </w:p>
        </w:tc>
        <w:tc>
          <w:tcPr>
            <w:tcW w:w="2291" w:type="dxa"/>
            <w:shd w:val="clear" w:color="auto" w:fill="FFFFFF" w:themeFill="background1"/>
          </w:tcPr>
          <w:p w14:paraId="39652ACD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у повному обсязі осіб з інвалідністю, дітей з інвалідністю технічними та іншими засобами реабілітації, реабілітаційними послугами, санаторно-курортним оздоровленням</w:t>
            </w:r>
          </w:p>
        </w:tc>
      </w:tr>
      <w:tr w:rsidR="00054C5F" w:rsidRPr="008D3E3A" w14:paraId="5EC875A4" w14:textId="77777777" w:rsidTr="00423333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51B38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D7FD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0777B192" w14:textId="77777777" w:rsidR="00054C5F" w:rsidRPr="008D3E3A" w:rsidRDefault="00054C5F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. Забезпечення надання особам з порушеннями слуху соціальної послуги перекладу на жестову мову</w:t>
            </w:r>
          </w:p>
        </w:tc>
        <w:tc>
          <w:tcPr>
            <w:tcW w:w="1260" w:type="dxa"/>
          </w:tcPr>
          <w:p w14:paraId="15E3EB69" w14:textId="77777777" w:rsidR="00054C5F" w:rsidRPr="008D3E3A" w:rsidRDefault="00054C5F" w:rsidP="00175432">
            <w:pPr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63CAD10E" w14:textId="77777777" w:rsidR="00054C5F" w:rsidRPr="008D3E3A" w:rsidRDefault="00054C5F" w:rsidP="001754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 соціального розвитку обласної державної адміністрації;</w:t>
            </w:r>
          </w:p>
          <w:p w14:paraId="76C2E73A" w14:textId="77777777" w:rsidR="00054C5F" w:rsidRPr="008D3E3A" w:rsidRDefault="00054C5F" w:rsidP="00175432">
            <w:pPr>
              <w:shd w:val="clear" w:color="auto" w:fill="FFFFFF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 селищні, сільські ради (за</w:t>
            </w:r>
          </w:p>
          <w:p w14:paraId="2E2D9C33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згодою);</w:t>
            </w:r>
            <w:r w:rsidRPr="008D3E3A">
              <w:rPr>
                <w:rFonts w:ascii="Times New Roman" w:hAnsi="Times New Roman"/>
                <w:color w:val="00B0F0"/>
                <w:sz w:val="24"/>
                <w:szCs w:val="24"/>
              </w:rPr>
              <w:br/>
            </w:r>
            <w:r w:rsidRPr="008D3E3A">
              <w:rPr>
                <w:rFonts w:ascii="Times New Roman" w:hAnsi="Times New Roman"/>
                <w:sz w:val="24"/>
                <w:szCs w:val="24"/>
              </w:rPr>
              <w:t>громадські організації (за згодою)</w:t>
            </w:r>
          </w:p>
        </w:tc>
        <w:tc>
          <w:tcPr>
            <w:tcW w:w="1876" w:type="dxa"/>
          </w:tcPr>
          <w:p w14:paraId="26CE1B62" w14:textId="77777777" w:rsidR="00054C5F" w:rsidRPr="009779EF" w:rsidRDefault="00054C5F" w:rsidP="00A04EEB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Не потребує</w:t>
            </w:r>
          </w:p>
          <w:p w14:paraId="4BFD43AF" w14:textId="77777777" w:rsidR="00054C5F" w:rsidRPr="009779EF" w:rsidRDefault="00054C5F" w:rsidP="00A04EEB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723" w:type="dxa"/>
          </w:tcPr>
          <w:p w14:paraId="4E1A7C8C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928D6E1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Запроваджено відповідні соціальні послуги</w:t>
            </w:r>
          </w:p>
        </w:tc>
      </w:tr>
      <w:tr w:rsidR="00054C5F" w:rsidRPr="008D3E3A" w14:paraId="0392CC28" w14:textId="77777777" w:rsidTr="00423333">
        <w:tc>
          <w:tcPr>
            <w:tcW w:w="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55F0BD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16C89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AD907F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. Здійснення розвитку системи фізкультурно-спортивної реабілітації серед ветеранів війни та визначення державного стандарту надання послуг</w:t>
            </w:r>
          </w:p>
        </w:tc>
        <w:tc>
          <w:tcPr>
            <w:tcW w:w="1260" w:type="dxa"/>
            <w:shd w:val="clear" w:color="auto" w:fill="FFFFFF" w:themeFill="background1"/>
          </w:tcPr>
          <w:p w14:paraId="5D8D31F9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0CC3157F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 соціального розвитку обласної державної адміністрації;</w:t>
            </w:r>
          </w:p>
          <w:p w14:paraId="331C5C2A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 фізичної культури, молоді та спорту обласної державної адміністрації;</w:t>
            </w:r>
          </w:p>
          <w:p w14:paraId="6208857B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E3A">
              <w:rPr>
                <w:rFonts w:ascii="Times New Roman" w:hAnsi="Times New Roman"/>
                <w:bCs/>
                <w:sz w:val="24"/>
                <w:szCs w:val="24"/>
              </w:rPr>
              <w:t xml:space="preserve">Міжрегіональний відділ у Херсонській області, Автономній Республіці Крим та </w:t>
            </w:r>
          </w:p>
          <w:p w14:paraId="7BF5B1CC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3E3A">
              <w:rPr>
                <w:rFonts w:ascii="Times New Roman" w:hAnsi="Times New Roman"/>
                <w:bCs/>
                <w:sz w:val="24"/>
                <w:szCs w:val="24"/>
              </w:rPr>
              <w:t xml:space="preserve">м. Севастополі Мінветеранів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1BB2D174" w14:textId="77777777" w:rsidR="00054C5F" w:rsidRPr="009779EF" w:rsidRDefault="00054C5F" w:rsidP="0078483A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Не потребує</w:t>
            </w:r>
          </w:p>
          <w:p w14:paraId="361A09CF" w14:textId="77777777" w:rsidR="00054C5F" w:rsidRPr="009779EF" w:rsidRDefault="00054C5F" w:rsidP="0078483A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723" w:type="dxa"/>
            <w:shd w:val="clear" w:color="auto" w:fill="FFFFFF" w:themeFill="background1"/>
          </w:tcPr>
          <w:p w14:paraId="1FF72CA8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6878F66E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color w:val="00B0F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Забезпечено реалізацію Національної стратегії розвитку системи фізкультурно-спортивної реабілітації</w:t>
            </w:r>
          </w:p>
        </w:tc>
      </w:tr>
      <w:tr w:rsidR="00054C5F" w:rsidRPr="008D3E3A" w14:paraId="0CDCBC91" w14:textId="77777777" w:rsidTr="00423333"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EC71D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9804D" w14:textId="77777777" w:rsidR="00054C5F" w:rsidRPr="008D3E3A" w:rsidRDefault="00054C5F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5BB882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. Забезпечення належної організації роботи реабілітаційних закладів для осіб з інвалідністю та дітей з інвалідністю </w:t>
            </w:r>
          </w:p>
        </w:tc>
        <w:tc>
          <w:tcPr>
            <w:tcW w:w="1260" w:type="dxa"/>
            <w:shd w:val="clear" w:color="auto" w:fill="FFFFFF" w:themeFill="background1"/>
          </w:tcPr>
          <w:p w14:paraId="13C1FEFD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shd w:val="clear" w:color="auto" w:fill="FFFFFF" w:themeFill="background1"/>
          </w:tcPr>
          <w:p w14:paraId="145FE663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Департаменти обласної державної адміністрації:</w:t>
            </w:r>
          </w:p>
          <w:p w14:paraId="3E163078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здоров’я;</w:t>
            </w:r>
          </w:p>
          <w:p w14:paraId="744E3086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соціального розвитку;</w:t>
            </w:r>
          </w:p>
          <w:p w14:paraId="76A88913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міські, селищні, сільські ради (за згодою)</w:t>
            </w:r>
          </w:p>
        </w:tc>
        <w:tc>
          <w:tcPr>
            <w:tcW w:w="1876" w:type="dxa"/>
            <w:shd w:val="clear" w:color="auto" w:fill="FFFFFF" w:themeFill="background1"/>
          </w:tcPr>
          <w:p w14:paraId="3A9F9C9B" w14:textId="77777777" w:rsidR="00054C5F" w:rsidRPr="009779EF" w:rsidRDefault="00054C5F" w:rsidP="0078483A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 потребує</w:t>
            </w:r>
          </w:p>
          <w:p w14:paraId="1847C625" w14:textId="77777777" w:rsidR="00054C5F" w:rsidRPr="009779EF" w:rsidRDefault="00054C5F" w:rsidP="0078483A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723" w:type="dxa"/>
            <w:shd w:val="clear" w:color="auto" w:fill="FFFFFF" w:themeFill="background1"/>
          </w:tcPr>
          <w:p w14:paraId="14893922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6F618FF6" w14:textId="77777777" w:rsidR="00054C5F" w:rsidRPr="008D3E3A" w:rsidRDefault="00054C5F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Покращено механізм надання особам з інвалідністю, дітям з інвалідністю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реабілітаційних послуг</w:t>
            </w:r>
          </w:p>
        </w:tc>
      </w:tr>
      <w:tr w:rsidR="00663DA8" w:rsidRPr="008D3E3A" w14:paraId="719025BD" w14:textId="77777777" w:rsidTr="00423333">
        <w:tc>
          <w:tcPr>
            <w:tcW w:w="516" w:type="dxa"/>
            <w:tcBorders>
              <w:top w:val="single" w:sz="4" w:space="0" w:color="auto"/>
            </w:tcBorders>
          </w:tcPr>
          <w:p w14:paraId="0B3AC53F" w14:textId="1199A113" w:rsidR="00175432" w:rsidRPr="008D3E3A" w:rsidRDefault="00A261C6" w:rsidP="00A261C6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lastRenderedPageBreak/>
              <w:t>22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68ADA8B3" w14:textId="1B469C23" w:rsidR="00175432" w:rsidRPr="008D3E3A" w:rsidRDefault="00175432" w:rsidP="00054C5F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Формування на рівні кожної територіальної громади якісно нової системи забезпечення та захисту прав дітей, що дасть змогу відійти від практики інституційного догляду та виховання дітей до забезпечення безпечного догляду і виховання кожної дитини в сімейному або наближеному до сімейного середовищі</w:t>
            </w:r>
          </w:p>
        </w:tc>
        <w:tc>
          <w:tcPr>
            <w:tcW w:w="2649" w:type="dxa"/>
          </w:tcPr>
          <w:p w14:paraId="692DB850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Створення в територіальних громадах служб у справах дітей, надання службам у справах дітей територіальних громад методичної та організаційної підтримки у провадженні діяльності щодо захисту прав та інтересів дітей</w:t>
            </w:r>
          </w:p>
        </w:tc>
        <w:tc>
          <w:tcPr>
            <w:tcW w:w="1260" w:type="dxa"/>
          </w:tcPr>
          <w:p w14:paraId="1A04B460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41887C26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Служба у справах дітей обласної державної адміністрації;</w:t>
            </w:r>
          </w:p>
          <w:p w14:paraId="2C0F9D44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  <w:p w14:paraId="6E10FCE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</w:tcPr>
          <w:p w14:paraId="1CC3743A" w14:textId="77777777" w:rsidR="00DA65B1" w:rsidRDefault="00DA65B1" w:rsidP="005E56D8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14E9909" w14:textId="77777777" w:rsidR="00DA65B1" w:rsidRDefault="00DA65B1" w:rsidP="005E56D8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F519815" w14:textId="77777777" w:rsidR="00DA65B1" w:rsidRDefault="00DA65B1" w:rsidP="005E56D8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8441EBE" w14:textId="77777777" w:rsidR="00DA65B1" w:rsidRDefault="00DA65B1" w:rsidP="005E56D8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85C32F1" w14:textId="77777777" w:rsidR="00175432" w:rsidRPr="009779EF" w:rsidRDefault="00562260" w:rsidP="005E56D8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1723" w:type="dxa"/>
            <w:shd w:val="clear" w:color="auto" w:fill="FFFFFF" w:themeFill="background1"/>
          </w:tcPr>
          <w:p w14:paraId="041B322D" w14:textId="77777777" w:rsidR="00DA65B1" w:rsidRDefault="00DA65B1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2260AE1C" w14:textId="77777777" w:rsidR="00DA65B1" w:rsidRDefault="00DA65B1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72041FC4" w14:textId="77777777" w:rsidR="00DA65B1" w:rsidRDefault="00DA65B1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234399DE" w14:textId="77777777" w:rsidR="00DA65B1" w:rsidRDefault="00DA65B1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14:paraId="73729045" w14:textId="77777777" w:rsidR="009779EF" w:rsidRPr="009779EF" w:rsidRDefault="009779EF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/>
              </w:rPr>
              <w:t>10</w:t>
            </w:r>
            <w:r w:rsidR="007224F2" w:rsidRPr="009779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21,4</w:t>
            </w:r>
          </w:p>
          <w:p w14:paraId="0D1590DE" w14:textId="77777777" w:rsidR="007224F2" w:rsidRPr="009779EF" w:rsidRDefault="007224F2" w:rsidP="007224F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1" w:type="dxa"/>
          </w:tcPr>
          <w:p w14:paraId="0F635A69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Створено служби у справах дітей в усіх територіальних громадах.</w:t>
            </w: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br/>
              <w:t>Збільшено кількість патронатних сімей у територіальних громадах.</w:t>
            </w: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br/>
              <w:t>Забезпечено розвиток сімейних форм виховання</w:t>
            </w:r>
          </w:p>
        </w:tc>
      </w:tr>
      <w:tr w:rsidR="00663DA8" w:rsidRPr="008D3E3A" w14:paraId="2A298DB1" w14:textId="77777777" w:rsidTr="00423333">
        <w:tc>
          <w:tcPr>
            <w:tcW w:w="516" w:type="dxa"/>
          </w:tcPr>
          <w:p w14:paraId="4204BB52" w14:textId="33BDEE09" w:rsidR="00175432" w:rsidRPr="008D3E3A" w:rsidRDefault="00A263C6" w:rsidP="00A261C6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0" w:type="dxa"/>
          </w:tcPr>
          <w:p w14:paraId="4A9315C6" w14:textId="4C7C5845" w:rsidR="00175432" w:rsidRPr="008D3E3A" w:rsidRDefault="00175432" w:rsidP="005E56D8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Проведення інформаційної кампанії</w:t>
            </w:r>
          </w:p>
        </w:tc>
        <w:tc>
          <w:tcPr>
            <w:tcW w:w="2649" w:type="dxa"/>
          </w:tcPr>
          <w:p w14:paraId="07B736B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Забезпечення організації та проведення інформаційно-просвітницької кампанії «Україна без бар’єрів»</w:t>
            </w:r>
          </w:p>
        </w:tc>
        <w:tc>
          <w:tcPr>
            <w:tcW w:w="1260" w:type="dxa"/>
          </w:tcPr>
          <w:p w14:paraId="1ABB69B2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</w:tcPr>
          <w:p w14:paraId="22D28943" w14:textId="77777777" w:rsidR="00175432" w:rsidRPr="008D3E3A" w:rsidRDefault="00DA65B1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14:paraId="01E8A0A4" w14:textId="77777777" w:rsidR="00175432" w:rsidRPr="00DA65B1" w:rsidRDefault="00175432" w:rsidP="00175432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реалізації гуманітарної політики</w:t>
            </w:r>
            <w:r w:rsidR="00DA65B1" w:rsidRPr="008D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5B1" w:rsidRPr="00DA65B1">
              <w:rPr>
                <w:rFonts w:ascii="Times New Roman" w:hAnsi="Times New Roman"/>
                <w:sz w:val="24"/>
                <w:szCs w:val="24"/>
              </w:rPr>
              <w:t>обласної державної адміністрації</w:t>
            </w:r>
          </w:p>
          <w:p w14:paraId="54676A20" w14:textId="77777777" w:rsidR="005E56D8" w:rsidRPr="00A263C6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1E5F3076" w14:textId="77777777" w:rsidR="00175432" w:rsidRPr="009779EF" w:rsidRDefault="0022603B" w:rsidP="00A077EA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  <w:r w:rsidR="00A077EA" w:rsidRPr="0097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14:paraId="44D2D963" w14:textId="77777777" w:rsidR="00175432" w:rsidRPr="009779EF" w:rsidRDefault="0022603B" w:rsidP="009779E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779EF">
              <w:rPr>
                <w:rFonts w:ascii="Times New Roman" w:eastAsia="Calibri" w:hAnsi="Times New Roman"/>
                <w:sz w:val="24"/>
                <w:szCs w:val="24"/>
              </w:rPr>
              <w:t>530,0</w:t>
            </w:r>
          </w:p>
        </w:tc>
        <w:tc>
          <w:tcPr>
            <w:tcW w:w="2291" w:type="dxa"/>
          </w:tcPr>
          <w:p w14:paraId="67EA7F7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Проведено інформаційно-просвітницьку кампанію</w:t>
            </w:r>
          </w:p>
        </w:tc>
      </w:tr>
      <w:tr w:rsidR="00663DA8" w:rsidRPr="008D3E3A" w14:paraId="32AA6DE1" w14:textId="77777777" w:rsidTr="004233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D8A62" w14:textId="4909C8C2" w:rsidR="00175432" w:rsidRPr="008D3E3A" w:rsidRDefault="00A261C6" w:rsidP="00A261C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22853A" w14:textId="0B3247AD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3E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Прийняття та</w:t>
            </w:r>
          </w:p>
          <w:p w14:paraId="4C5DE1AE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3E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впровадження Закону</w:t>
            </w:r>
          </w:p>
          <w:p w14:paraId="48A7A15C" w14:textId="77777777" w:rsidR="00175432" w:rsidRPr="008D3E3A" w:rsidRDefault="00175432" w:rsidP="0017543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D3E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України «Про освіту</w:t>
            </w:r>
          </w:p>
          <w:p w14:paraId="61E61565" w14:textId="77777777" w:rsidR="00175432" w:rsidRPr="008D3E3A" w:rsidRDefault="00175432" w:rsidP="00175432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дорослих»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52CFAEC3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Організація громадського обговорення проєкту Закону України «Про освіту дорослих»</w:t>
            </w:r>
          </w:p>
        </w:tc>
        <w:tc>
          <w:tcPr>
            <w:tcW w:w="1260" w:type="dxa"/>
          </w:tcPr>
          <w:p w14:paraId="04705E56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IІ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65DFC781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</w:tc>
        <w:tc>
          <w:tcPr>
            <w:tcW w:w="1876" w:type="dxa"/>
          </w:tcPr>
          <w:p w14:paraId="54F59DE4" w14:textId="77777777" w:rsidR="0084522B" w:rsidRPr="009779EF" w:rsidRDefault="0084522B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6DB72198" w14:textId="77777777" w:rsidR="00175432" w:rsidRPr="009779EF" w:rsidRDefault="0084522B" w:rsidP="0084522B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2590C865" w14:textId="77777777" w:rsidR="00175432" w:rsidRPr="009779EF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E648E0D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Подано до  МОН пропозиції до проєкту Закону України «Про освіту дорослих» </w:t>
            </w:r>
          </w:p>
        </w:tc>
      </w:tr>
      <w:tr w:rsidR="00EC71EC" w:rsidRPr="008D3E3A" w14:paraId="09434F02" w14:textId="77777777" w:rsidTr="00423333">
        <w:tc>
          <w:tcPr>
            <w:tcW w:w="516" w:type="dxa"/>
            <w:vMerge w:val="restart"/>
          </w:tcPr>
          <w:p w14:paraId="4F460C75" w14:textId="41D6767E" w:rsidR="00EC71EC" w:rsidRPr="008D3E3A" w:rsidRDefault="00A261C6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40" w:type="dxa"/>
            <w:vMerge w:val="restart"/>
          </w:tcPr>
          <w:p w14:paraId="4D58B56D" w14:textId="3C5410B2" w:rsidR="00EC71EC" w:rsidRPr="008D3E3A" w:rsidRDefault="00EC71EC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Забезпечення закладів дошкільної освіти методичними, діагностичними та матеріально-технічними засобами для створення та функціонування інклюзивного середовища</w:t>
            </w:r>
          </w:p>
        </w:tc>
        <w:tc>
          <w:tcPr>
            <w:tcW w:w="2649" w:type="dxa"/>
          </w:tcPr>
          <w:p w14:paraId="5F34F707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. Забезпечення інклюзивно-ресурсних центрів діагностичними засобами для роботи з дітьми дошкільного віку </w:t>
            </w:r>
          </w:p>
        </w:tc>
        <w:tc>
          <w:tcPr>
            <w:tcW w:w="1260" w:type="dxa"/>
          </w:tcPr>
          <w:p w14:paraId="0DF5BEFB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27AC6B31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1C98FFA2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  <w:p w14:paraId="3493B29C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137CC76" w14:textId="77777777" w:rsidR="00EC71EC" w:rsidRPr="009779EF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9779EF">
              <w:rPr>
                <w:rFonts w:ascii="Times New Roman" w:eastAsia="Arial" w:hAnsi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723" w:type="dxa"/>
            <w:shd w:val="clear" w:color="auto" w:fill="FFFFFF" w:themeFill="background1"/>
          </w:tcPr>
          <w:p w14:paraId="74AB90C6" w14:textId="77777777" w:rsidR="00DA65B1" w:rsidRDefault="00DA65B1" w:rsidP="00DA65B1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9779EF">
              <w:rPr>
                <w:rFonts w:ascii="Times New Roman" w:eastAsia="Arial" w:hAnsi="Times New Roman"/>
                <w:sz w:val="24"/>
                <w:szCs w:val="24"/>
              </w:rPr>
              <w:t>1000,0</w:t>
            </w:r>
          </w:p>
          <w:p w14:paraId="74DDE7D3" w14:textId="77777777" w:rsidR="00593C74" w:rsidRPr="009779EF" w:rsidRDefault="00DA65B1" w:rsidP="00593C74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(субвенція</w:t>
            </w:r>
            <w:r w:rsidR="00593C74" w:rsidRPr="00977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державного бюджету місцевим бюджетам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00137913" w14:textId="77777777" w:rsidR="00593C74" w:rsidRPr="009779EF" w:rsidRDefault="00593C74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06188547" w14:textId="77777777" w:rsidR="00EC71EC" w:rsidRPr="009779EF" w:rsidRDefault="00EC71EC" w:rsidP="00DA65B1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9779E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75BDB12F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Діючі інклюзивно-ресурсні центри забезпечено діагностичними засобами для роботи з дітьми дошкільного віку</w:t>
            </w:r>
          </w:p>
        </w:tc>
      </w:tr>
      <w:tr w:rsidR="00EC71EC" w:rsidRPr="008D3E3A" w14:paraId="3E411176" w14:textId="77777777" w:rsidTr="00423333">
        <w:tc>
          <w:tcPr>
            <w:tcW w:w="516" w:type="dxa"/>
            <w:vMerge/>
          </w:tcPr>
          <w:p w14:paraId="763AB599" w14:textId="77777777" w:rsidR="00EC71EC" w:rsidRPr="008D3E3A" w:rsidRDefault="00EC71EC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14:paraId="45559F6D" w14:textId="77777777" w:rsidR="00EC71EC" w:rsidRPr="008D3E3A" w:rsidRDefault="00EC71EC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14:paraId="00D1E15B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>. Розроблення методичних рекомендацій щодо створення та функціонування інклюзивного середовища в закладах дошкільної освіти</w:t>
            </w:r>
          </w:p>
        </w:tc>
        <w:tc>
          <w:tcPr>
            <w:tcW w:w="1260" w:type="dxa"/>
          </w:tcPr>
          <w:p w14:paraId="0EBF21D9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558247BE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</w:tc>
        <w:tc>
          <w:tcPr>
            <w:tcW w:w="1876" w:type="dxa"/>
          </w:tcPr>
          <w:p w14:paraId="02071510" w14:textId="77777777" w:rsidR="00EC71EC" w:rsidRPr="009779EF" w:rsidRDefault="00EC71EC" w:rsidP="00EC71EC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64BFB81D" w14:textId="77777777" w:rsidR="00EC71EC" w:rsidRPr="009779EF" w:rsidRDefault="00EC71EC" w:rsidP="00EC71EC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9779EF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2A071E4F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E228B26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Опубліковано на офіційному вебсайті управління освіти і науки обласної державної адміністрації рекомендації та поширено серед закладів дошкільної освіти</w:t>
            </w:r>
          </w:p>
        </w:tc>
      </w:tr>
      <w:tr w:rsidR="00EC71EC" w:rsidRPr="008D3E3A" w14:paraId="7E4B14D2" w14:textId="77777777" w:rsidTr="00423333">
        <w:tc>
          <w:tcPr>
            <w:tcW w:w="516" w:type="dxa"/>
            <w:vMerge/>
            <w:tcBorders>
              <w:bottom w:val="single" w:sz="4" w:space="0" w:color="auto"/>
            </w:tcBorders>
          </w:tcPr>
          <w:p w14:paraId="6147C1FE" w14:textId="77777777" w:rsidR="00EC71EC" w:rsidRPr="008D3E3A" w:rsidRDefault="00EC71EC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</w:tcPr>
          <w:p w14:paraId="18EA1D38" w14:textId="77777777" w:rsidR="00EC71EC" w:rsidRPr="008D3E3A" w:rsidRDefault="00EC71EC" w:rsidP="00175432">
            <w:pPr>
              <w:pStyle w:val="a5"/>
              <w:tabs>
                <w:tab w:val="left" w:pos="244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14:paraId="686FAF0E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>. Забезпечення закладів дошкільної освіти матеріально-технічними засобами для створення та функціонування інклюзивного середовища</w:t>
            </w:r>
          </w:p>
        </w:tc>
        <w:tc>
          <w:tcPr>
            <w:tcW w:w="1260" w:type="dxa"/>
          </w:tcPr>
          <w:p w14:paraId="1F9B9164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2E2572FC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</w:t>
            </w:r>
            <w:r w:rsidR="00107558">
              <w:rPr>
                <w:rFonts w:ascii="Times New Roman" w:eastAsia="Arial" w:hAnsi="Times New Roman"/>
                <w:sz w:val="24"/>
                <w:szCs w:val="24"/>
              </w:rPr>
              <w:t>бласної державної адміністрації.</w:t>
            </w:r>
          </w:p>
          <w:p w14:paraId="6DB8F63A" w14:textId="77777777" w:rsidR="00DA65B1" w:rsidRDefault="00DA65B1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BCAF040" w14:textId="77777777" w:rsidR="00DA65B1" w:rsidRDefault="00DA65B1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6FB7B7" w14:textId="77777777" w:rsidR="00EC71EC" w:rsidRPr="00107558" w:rsidRDefault="00107558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EC71EC" w:rsidRPr="008D3E3A">
              <w:rPr>
                <w:rFonts w:ascii="Times New Roman" w:hAnsi="Times New Roman"/>
                <w:sz w:val="24"/>
                <w:szCs w:val="24"/>
              </w:rPr>
              <w:t>іські, селищні, сільські ради (за згодою)</w:t>
            </w:r>
          </w:p>
        </w:tc>
        <w:tc>
          <w:tcPr>
            <w:tcW w:w="1876" w:type="dxa"/>
          </w:tcPr>
          <w:p w14:paraId="4FE7DA0C" w14:textId="77777777" w:rsidR="00EC71EC" w:rsidRPr="00413E8E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>Державний бюджет</w:t>
            </w:r>
          </w:p>
          <w:p w14:paraId="0CA4CDC9" w14:textId="77777777" w:rsidR="00EC71EC" w:rsidRPr="00413E8E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77602D" w14:textId="77777777" w:rsidR="00EC71EC" w:rsidRPr="00413E8E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3B1751D" w14:textId="77777777" w:rsidR="00540CAD" w:rsidRPr="00413E8E" w:rsidRDefault="00540CAD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9E6C06A" w14:textId="77777777" w:rsidR="00540CAD" w:rsidRPr="00413E8E" w:rsidRDefault="00540CAD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470650C" w14:textId="77777777" w:rsidR="00EC71EC" w:rsidRPr="00413E8E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6E13C3A" w14:textId="77777777" w:rsidR="00EC71EC" w:rsidRPr="00413E8E" w:rsidRDefault="00540CAD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Місцеві </w:t>
            </w:r>
            <w:r w:rsidR="00EC71EC" w:rsidRPr="00413E8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413E8E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23" w:type="dxa"/>
          </w:tcPr>
          <w:p w14:paraId="79D03FC1" w14:textId="77777777" w:rsidR="00DA65B1" w:rsidRDefault="00DA65B1" w:rsidP="00DA65B1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</w:t>
            </w:r>
            <w:r w:rsidRPr="009779EF">
              <w:rPr>
                <w:rFonts w:ascii="Times New Roman" w:eastAsia="Arial" w:hAnsi="Times New Roman"/>
                <w:sz w:val="24"/>
                <w:szCs w:val="24"/>
              </w:rPr>
              <w:t>000,0</w:t>
            </w:r>
          </w:p>
          <w:p w14:paraId="452AC247" w14:textId="77777777" w:rsidR="00DA65B1" w:rsidRPr="009779EF" w:rsidRDefault="00DA65B1" w:rsidP="00DA65B1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(субвенція</w:t>
            </w:r>
            <w:r w:rsidRPr="009779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 державного бюджету місцевим бюджетам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  <w:p w14:paraId="146BFEAE" w14:textId="77777777" w:rsidR="00DA65B1" w:rsidRPr="00413E8E" w:rsidRDefault="00DA65B1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0E16075F" w14:textId="77777777" w:rsidR="00EC71EC" w:rsidRPr="00413E8E" w:rsidRDefault="00413E8E" w:rsidP="00413E8E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13E8E"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Pr="00413E8E">
              <w:rPr>
                <w:rFonts w:ascii="Times New Roman" w:eastAsia="Arial" w:hAnsi="Times New Roman"/>
                <w:sz w:val="24"/>
                <w:szCs w:val="24"/>
                <w:lang w:val="ru-RU"/>
              </w:rPr>
              <w:t>52</w:t>
            </w:r>
            <w:r w:rsidR="00EC71EC" w:rsidRPr="00413E8E">
              <w:rPr>
                <w:rFonts w:ascii="Times New Roman" w:eastAsia="Arial" w:hAnsi="Times New Roman"/>
                <w:sz w:val="24"/>
                <w:szCs w:val="24"/>
              </w:rPr>
              <w:t>,0</w:t>
            </w:r>
          </w:p>
        </w:tc>
        <w:tc>
          <w:tcPr>
            <w:tcW w:w="2291" w:type="dxa"/>
          </w:tcPr>
          <w:p w14:paraId="7E2576CA" w14:textId="77777777" w:rsidR="00EC71EC" w:rsidRPr="008D3E3A" w:rsidRDefault="00EC71EC" w:rsidP="007B782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Оновлено матеріально-технічні засоби для створення та функціонування інклюзивного середовища  закладів дошкільної освіти </w:t>
            </w:r>
          </w:p>
        </w:tc>
      </w:tr>
      <w:tr w:rsidR="00EC71EC" w:rsidRPr="008D3E3A" w14:paraId="7FA7B871" w14:textId="77777777" w:rsidTr="0042333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ABCCB" w14:textId="73FBCA5B" w:rsidR="00EC71EC" w:rsidRPr="008D3E3A" w:rsidRDefault="00A261C6" w:rsidP="00A261C6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97F01" w14:textId="2159F224" w:rsidR="00EC71EC" w:rsidRPr="008D3E3A" w:rsidRDefault="00EC71EC" w:rsidP="00175432">
            <w:pPr>
              <w:pStyle w:val="a5"/>
              <w:tabs>
                <w:tab w:val="left" w:pos="244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Забезпечення підвищення рівня якості надання освітніх послуг у спеціальних закладах загальної середньої освіти або спеціальних класах 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(групах) закладів освіти із створенням умов для здобуття учнями (вихованцями) з особливими освітніми потребами освіти в освітньому середовищі, наближеному до місця їх проживання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30EA193D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1. Підготовка спеціальних закладів загальної середньої освіти до участі в загальнодержавному моніторингу якості освіти у спеціальних закладах освіти </w:t>
            </w:r>
          </w:p>
        </w:tc>
        <w:tc>
          <w:tcPr>
            <w:tcW w:w="1260" w:type="dxa"/>
          </w:tcPr>
          <w:p w14:paraId="1FD704C4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16DE913F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  <w:p w14:paraId="7376E0A5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32951413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br/>
            </w:r>
          </w:p>
        </w:tc>
        <w:tc>
          <w:tcPr>
            <w:tcW w:w="1876" w:type="dxa"/>
          </w:tcPr>
          <w:p w14:paraId="1C2FF9BE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778CA385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696A19AE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6680580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Здійснено вибірку закладів спеціальної освіти – учасників моніторингу</w:t>
            </w:r>
          </w:p>
        </w:tc>
      </w:tr>
      <w:tr w:rsidR="00EC71EC" w:rsidRPr="008D3E3A" w14:paraId="1D4FB37E" w14:textId="77777777" w:rsidTr="00423333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BC90D" w14:textId="77777777" w:rsidR="00EC71EC" w:rsidRPr="008D3E3A" w:rsidRDefault="00EC71EC" w:rsidP="00175432">
            <w:pPr>
              <w:pStyle w:val="a5"/>
              <w:tabs>
                <w:tab w:val="left" w:pos="244"/>
              </w:tabs>
              <w:spacing w:before="60" w:line="228" w:lineRule="auto"/>
              <w:ind w:firstLine="0"/>
              <w:rPr>
                <w:rFonts w:ascii="Times New Roman" w:eastAsia="Calibri" w:hAnsi="Times New Roman"/>
                <w:color w:val="2E74B5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CD742" w14:textId="77777777" w:rsidR="00EC71EC" w:rsidRPr="008D3E3A" w:rsidRDefault="00EC71EC" w:rsidP="00175432">
            <w:pPr>
              <w:pStyle w:val="a5"/>
              <w:tabs>
                <w:tab w:val="left" w:pos="244"/>
              </w:tabs>
              <w:spacing w:before="60" w:line="228" w:lineRule="auto"/>
              <w:ind w:firstLine="0"/>
              <w:rPr>
                <w:rFonts w:ascii="Times New Roman" w:eastAsia="Calibri" w:hAnsi="Times New Roman"/>
                <w:color w:val="2E74B5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051AC929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2. Організація громадського обговорення проєкту Концепції осучаснення системи підготовки, перепідготовки та підвищення кваліфікації педагогічних кадрів для надання освітніх послуг дітям з особливими освітніми потребами відповідно до кращих міжнародних практик</w:t>
            </w:r>
          </w:p>
        </w:tc>
        <w:tc>
          <w:tcPr>
            <w:tcW w:w="1260" w:type="dxa"/>
          </w:tcPr>
          <w:p w14:paraId="6FA3D6A0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IІ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7B6DA2D2" w14:textId="77777777" w:rsidR="00EC71EC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>бласної державної адміністрації</w:t>
            </w:r>
          </w:p>
          <w:p w14:paraId="380C454E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КВНЗ «Херсонська академія неперервної освіти» Херсонської обласної ради (за згодою)</w:t>
            </w:r>
          </w:p>
        </w:tc>
        <w:tc>
          <w:tcPr>
            <w:tcW w:w="1876" w:type="dxa"/>
          </w:tcPr>
          <w:p w14:paraId="49CB9448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22046AEB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1E868E44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B0C98D3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Надано пропозиції до МОН</w:t>
            </w:r>
          </w:p>
        </w:tc>
      </w:tr>
      <w:tr w:rsidR="00EC71EC" w:rsidRPr="008D3E3A" w14:paraId="540DF36A" w14:textId="77777777" w:rsidTr="00423333">
        <w:trPr>
          <w:trHeight w:val="188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59E46" w14:textId="66025BBB" w:rsidR="00EC71EC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B16F" w14:textId="0439F9EF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Розвиток та підтримка впровадження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дуальної форми здобуття освіти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 шляхом реалізації спільних проєктів освітніх закладів та бізнесу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0E64A62D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1. Укладення тристоронніх договорів для впровадження дуальної форми здобуття освіти з урахуванням розроблених методичних рекомендацій</w:t>
            </w:r>
          </w:p>
        </w:tc>
        <w:tc>
          <w:tcPr>
            <w:tcW w:w="1260" w:type="dxa"/>
          </w:tcPr>
          <w:p w14:paraId="4647BE53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ІІ квартал </w:t>
            </w:r>
          </w:p>
          <w:p w14:paraId="495D55E9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1CB5AABB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Департамент розвитку економіки обласної державної адміністрації;</w:t>
            </w:r>
          </w:p>
          <w:p w14:paraId="00638EAC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  <w:p w14:paraId="0664FB95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6B144537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03B03F23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1B72E17B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140F544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Укладено тристоронні договори для впровадження дуальної форми здобуття освіти з урахуванням розроблених методичних рекомендацій</w:t>
            </w:r>
          </w:p>
        </w:tc>
      </w:tr>
      <w:tr w:rsidR="00EC71EC" w:rsidRPr="008D3E3A" w14:paraId="144D03E0" w14:textId="77777777" w:rsidTr="00423333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0ED0" w14:textId="77777777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B37" w14:textId="77777777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550C2C06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2. Висвітлення на офіційному вебсайті управління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освіти і науки обласної державної адміністрації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 найкращих практик дуальної форми здобуття освіти </w:t>
            </w:r>
          </w:p>
        </w:tc>
        <w:tc>
          <w:tcPr>
            <w:tcW w:w="1260" w:type="dxa"/>
          </w:tcPr>
          <w:p w14:paraId="4F01C35C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11B090D1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освіти і науки обласної державної адміністрації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</w:tcPr>
          <w:p w14:paraId="3DB06716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336F8392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581743F1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F964E78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Розміщено на офіційному вебсайті 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освіти і науки обласної державної адміністрації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приклади успішних кейсів організації дуальної освіти</w:t>
            </w:r>
          </w:p>
        </w:tc>
      </w:tr>
      <w:tr w:rsidR="00EC71EC" w:rsidRPr="008D3E3A" w14:paraId="3984FC20" w14:textId="77777777" w:rsidTr="0042333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A5747" w14:textId="2EDF66BA" w:rsidR="00EC71EC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33C1" w14:textId="2723DD69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Створення умов для дистанційного навчання в усіх освітніх закладах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38B561B5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1. З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>дійснення моніторингу кращих практик дистанційного навчання</w:t>
            </w:r>
          </w:p>
        </w:tc>
        <w:tc>
          <w:tcPr>
            <w:tcW w:w="1260" w:type="dxa"/>
          </w:tcPr>
          <w:p w14:paraId="21723A7E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363AB02B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освіти і науки обласної державної адміністрації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</w:tcPr>
          <w:p w14:paraId="04852489" w14:textId="77777777" w:rsidR="00EC71EC" w:rsidRPr="00413E8E" w:rsidRDefault="00EC71EC" w:rsidP="00EC71EC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02D7571E" w14:textId="77777777" w:rsidR="00EC71EC" w:rsidRPr="00413E8E" w:rsidRDefault="00EC71EC" w:rsidP="00EC71EC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  <w:shd w:val="clear" w:color="auto" w:fill="auto"/>
          </w:tcPr>
          <w:p w14:paraId="1A35C7FB" w14:textId="77777777" w:rsidR="00EC71EC" w:rsidRPr="007E0220" w:rsidRDefault="00EC71EC" w:rsidP="00663DA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91" w:type="dxa"/>
          </w:tcPr>
          <w:p w14:paraId="1C45B6DD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Імплементовано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кращі практики дистанційного навчання в освітній процес</w:t>
            </w:r>
          </w:p>
        </w:tc>
      </w:tr>
      <w:tr w:rsidR="00EC71EC" w:rsidRPr="008D3E3A" w14:paraId="694BAFCA" w14:textId="77777777" w:rsidTr="00423333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9282C" w14:textId="77777777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703F0" w14:textId="77777777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32FEF3DE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2. В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>провадження методичних рекомендацій надання освітніх послуг для дітей з особливими освітніми потребами в умовах дистанційного навчання</w:t>
            </w:r>
          </w:p>
        </w:tc>
        <w:tc>
          <w:tcPr>
            <w:tcW w:w="1260" w:type="dxa"/>
          </w:tcPr>
          <w:p w14:paraId="79DE51C7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Перше півріччя</w:t>
            </w:r>
          </w:p>
          <w:p w14:paraId="60F44018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154BBBDA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Управління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освіти і науки обласної державної адміністрації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76" w:type="dxa"/>
          </w:tcPr>
          <w:p w14:paraId="15725996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5EE39C98" w14:textId="77777777" w:rsidR="00EC71EC" w:rsidRPr="00413E8E" w:rsidRDefault="00EC71EC" w:rsidP="0084522B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5CFB4989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40F033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Впроваджено методичні рекомендації</w:t>
            </w:r>
          </w:p>
        </w:tc>
      </w:tr>
      <w:tr w:rsidR="00EC71EC" w:rsidRPr="008D3E3A" w14:paraId="53EF4946" w14:textId="77777777" w:rsidTr="00423333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3BB5E" w14:textId="77777777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7B699" w14:textId="77777777" w:rsidR="00EC71EC" w:rsidRPr="008D3E3A" w:rsidRDefault="00EC71EC" w:rsidP="00175432">
            <w:pPr>
              <w:pStyle w:val="a5"/>
              <w:tabs>
                <w:tab w:val="left" w:pos="244"/>
                <w:tab w:val="left" w:pos="612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63050749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3.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Підвищення рівня цифрової компетентності спеціалістів, які надають освітні послуги, удосконалення їх навичок користування освітніми платформами, проведення відеоконференцій тощо</w:t>
            </w:r>
          </w:p>
        </w:tc>
        <w:tc>
          <w:tcPr>
            <w:tcW w:w="1260" w:type="dxa"/>
          </w:tcPr>
          <w:p w14:paraId="52F57786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Перше півріччя</w:t>
            </w:r>
          </w:p>
          <w:p w14:paraId="2DF7411F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018A1C41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Управління освіти і науки обласної державної адміністрації; </w:t>
            </w:r>
          </w:p>
          <w:p w14:paraId="2A6AA2DC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КВНЗ «Херсонська академія неперервної освіти» Херсонської обласної ради (за згодою)</w:t>
            </w:r>
          </w:p>
        </w:tc>
        <w:tc>
          <w:tcPr>
            <w:tcW w:w="1876" w:type="dxa"/>
          </w:tcPr>
          <w:p w14:paraId="57F6A312" w14:textId="77777777" w:rsidR="00EC71EC" w:rsidRPr="00413E8E" w:rsidRDefault="00EC71EC" w:rsidP="00EC71EC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2BDAC404" w14:textId="77777777" w:rsidR="00EC71EC" w:rsidRPr="00413E8E" w:rsidRDefault="00EC71EC" w:rsidP="00EC71EC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029EA0C7" w14:textId="77777777" w:rsidR="00EC71EC" w:rsidRPr="00413E8E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A8AA52C" w14:textId="77777777" w:rsidR="00EC71EC" w:rsidRPr="008D3E3A" w:rsidRDefault="00EC71EC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Впроваджено програми підвищення кваліфікації, а також якісні відеоінструкції щодо користування онлайн-платформами та інструментами для спеціалістів, що надають освітні послуги</w:t>
            </w:r>
          </w:p>
        </w:tc>
      </w:tr>
      <w:tr w:rsidR="00663DA8" w:rsidRPr="008D3E3A" w14:paraId="4646236A" w14:textId="77777777" w:rsidTr="00423333">
        <w:tc>
          <w:tcPr>
            <w:tcW w:w="516" w:type="dxa"/>
          </w:tcPr>
          <w:p w14:paraId="1DDAED6E" w14:textId="6BC32714" w:rsidR="00175432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2440" w:type="dxa"/>
          </w:tcPr>
          <w:p w14:paraId="72D3571F" w14:textId="4A84A3F5" w:rsidR="00175432" w:rsidRPr="008D3E3A" w:rsidRDefault="00175432" w:rsidP="00175432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Забезпечення розвитку освіти дорослих</w:t>
            </w:r>
          </w:p>
        </w:tc>
        <w:tc>
          <w:tcPr>
            <w:tcW w:w="2649" w:type="dxa"/>
          </w:tcPr>
          <w:p w14:paraId="30C22903" w14:textId="77777777" w:rsidR="002B0274" w:rsidRPr="007B7825" w:rsidRDefault="002B0274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7825">
              <w:rPr>
                <w:rFonts w:ascii="Times New Roman" w:hAnsi="Times New Roman"/>
                <w:sz w:val="24"/>
                <w:szCs w:val="24"/>
              </w:rPr>
              <w:t>Забезпечення навчання людей похилого віку впродовж усього життя та підтримка їхніх  фізичних, психологічних та соціальних здібностей шляхом створення  "Університету третього віку»</w:t>
            </w:r>
          </w:p>
        </w:tc>
        <w:tc>
          <w:tcPr>
            <w:tcW w:w="1260" w:type="dxa"/>
          </w:tcPr>
          <w:p w14:paraId="23AC2F89" w14:textId="77777777" w:rsidR="002B0274" w:rsidRPr="007B7825" w:rsidRDefault="002B0274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825">
              <w:rPr>
                <w:rFonts w:ascii="Times New Roman" w:hAnsi="Times New Roman"/>
                <w:sz w:val="24"/>
                <w:szCs w:val="24"/>
              </w:rPr>
              <w:t>Перше півріччя 2022 року</w:t>
            </w:r>
          </w:p>
        </w:tc>
        <w:tc>
          <w:tcPr>
            <w:tcW w:w="2300" w:type="dxa"/>
          </w:tcPr>
          <w:p w14:paraId="1FA84D46" w14:textId="77777777" w:rsidR="002B0274" w:rsidRPr="007B7825" w:rsidRDefault="002B0274" w:rsidP="002B0274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7B7825">
              <w:rPr>
                <w:rFonts w:ascii="Times New Roman" w:eastAsia="Arial" w:hAnsi="Times New Roman"/>
                <w:sz w:val="24"/>
                <w:szCs w:val="24"/>
              </w:rPr>
              <w:t>Департамент соціального розвитку о</w:t>
            </w:r>
            <w:r w:rsidR="00107558">
              <w:rPr>
                <w:rFonts w:ascii="Times New Roman" w:eastAsia="Arial" w:hAnsi="Times New Roman"/>
                <w:sz w:val="24"/>
                <w:szCs w:val="24"/>
              </w:rPr>
              <w:t>бласної державної адміністрації.</w:t>
            </w:r>
          </w:p>
          <w:p w14:paraId="16A93A3E" w14:textId="77777777" w:rsidR="002B0274" w:rsidRPr="007B7825" w:rsidRDefault="002B0274" w:rsidP="002B0274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52C1EC2" w14:textId="77777777" w:rsidR="002B0274" w:rsidRPr="00413E8E" w:rsidRDefault="002B0274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723" w:type="dxa"/>
          </w:tcPr>
          <w:p w14:paraId="38A4E832" w14:textId="77777777" w:rsidR="002B0274" w:rsidRPr="00413E8E" w:rsidRDefault="00413E8E" w:rsidP="00413E8E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291" w:type="dxa"/>
          </w:tcPr>
          <w:p w14:paraId="296C9969" w14:textId="77777777" w:rsidR="002B0274" w:rsidRPr="00413E8E" w:rsidRDefault="002B0274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>Організовано та проведено безкоштовне навчання для людей похилого віку основам комп’ютерної грамотності</w:t>
            </w:r>
          </w:p>
        </w:tc>
      </w:tr>
      <w:tr w:rsidR="00F11F97" w:rsidRPr="008D3E3A" w14:paraId="1817290A" w14:textId="77777777" w:rsidTr="00423333">
        <w:trPr>
          <w:trHeight w:val="5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98449" w14:textId="18DCD0BD" w:rsidR="00F11F97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91C7" w14:textId="4715B2F7" w:rsidR="00F11F97" w:rsidRPr="008D3E3A" w:rsidRDefault="00F11F97" w:rsidP="00175432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Створення та забезпечення освітніх можливостей для освітніх управлінців щодо питань освітньої безбар’єрності та рішень, які управлінці повинні прийняти на місцях у межах своїх повноважень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77B94E0A" w14:textId="77777777" w:rsidR="00F11F97" w:rsidRPr="008D3E3A" w:rsidRDefault="00F11F97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1. Забезпечення організації навчання для працівників органів місцевого самоврядування в частині забезпечення права на якісну освіту кожного здобувача освіти на рівні громади</w:t>
            </w:r>
          </w:p>
        </w:tc>
        <w:tc>
          <w:tcPr>
            <w:tcW w:w="1260" w:type="dxa"/>
          </w:tcPr>
          <w:p w14:paraId="1AF3D22B" w14:textId="77777777" w:rsidR="00F11F97" w:rsidRPr="008D3E3A" w:rsidRDefault="00F11F97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</w:tcPr>
          <w:p w14:paraId="16D26AE7" w14:textId="77777777" w:rsidR="00F11F97" w:rsidRPr="008D3E3A" w:rsidRDefault="00F11F97" w:rsidP="00175432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Управління освіти і науки обласної державної адміністрації;  </w:t>
            </w:r>
          </w:p>
          <w:p w14:paraId="215BEB00" w14:textId="77777777" w:rsidR="00F11F97" w:rsidRPr="008D3E3A" w:rsidRDefault="00F11F97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Херсонський регіональний центр підвищення кваліфікації</w:t>
            </w:r>
          </w:p>
        </w:tc>
        <w:tc>
          <w:tcPr>
            <w:tcW w:w="1876" w:type="dxa"/>
          </w:tcPr>
          <w:p w14:paraId="5E5312A0" w14:textId="77777777" w:rsidR="00F11F97" w:rsidRPr="00413E8E" w:rsidRDefault="00F11F97" w:rsidP="00F11F97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Не потребує </w:t>
            </w:r>
          </w:p>
          <w:p w14:paraId="33FE63BC" w14:textId="77777777" w:rsidR="00F11F97" w:rsidRPr="00413E8E" w:rsidRDefault="00F11F97" w:rsidP="00F11F97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413E8E">
              <w:rPr>
                <w:rFonts w:ascii="Times New Roman" w:hAnsi="Times New Roman"/>
                <w:sz w:val="24"/>
                <w:szCs w:val="24"/>
              </w:rPr>
              <w:t xml:space="preserve">фінансування  </w:t>
            </w:r>
          </w:p>
        </w:tc>
        <w:tc>
          <w:tcPr>
            <w:tcW w:w="1723" w:type="dxa"/>
          </w:tcPr>
          <w:p w14:paraId="4144F472" w14:textId="77777777" w:rsidR="00F11F97" w:rsidRPr="008D3E3A" w:rsidRDefault="00F11F97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D628864" w14:textId="77777777" w:rsidR="00F11F97" w:rsidRPr="008D3E3A" w:rsidRDefault="00F11F97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Проведено підвищення кваліфікації для працівників органів місцевого самоврядування</w:t>
            </w:r>
          </w:p>
        </w:tc>
      </w:tr>
      <w:tr w:rsidR="005304B7" w:rsidRPr="005304B7" w14:paraId="61A6C68C" w14:textId="77777777" w:rsidTr="004233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8E2DC3" w14:textId="4CB90BCD" w:rsidR="00175432" w:rsidRPr="005304B7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E7678" w14:textId="68367E34" w:rsidR="00175432" w:rsidRPr="005304B7" w:rsidRDefault="00175432" w:rsidP="00175432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5304B7">
              <w:rPr>
                <w:rFonts w:ascii="Times New Roman" w:eastAsia="Calibri" w:hAnsi="Times New Roman"/>
                <w:sz w:val="24"/>
                <w:szCs w:val="24"/>
              </w:rPr>
              <w:t>Розвиток мережі та підтримка інклюзивно-ресурсних центрів відповідно до існуючих нормативів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1693B143" w14:textId="77777777" w:rsidR="00175432" w:rsidRPr="005304B7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5304B7">
              <w:rPr>
                <w:rFonts w:ascii="Times New Roman" w:eastAsia="Arial" w:hAnsi="Times New Roman"/>
                <w:sz w:val="24"/>
                <w:szCs w:val="24"/>
              </w:rPr>
              <w:t>Забезпечення функціонування мережі інклюзивно-ресурсних центрів відповідно до існуючих нормативів</w:t>
            </w:r>
          </w:p>
        </w:tc>
        <w:tc>
          <w:tcPr>
            <w:tcW w:w="1260" w:type="dxa"/>
          </w:tcPr>
          <w:p w14:paraId="3B041EBF" w14:textId="77777777" w:rsidR="00175432" w:rsidRPr="005304B7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5304B7">
              <w:rPr>
                <w:rFonts w:ascii="Times New Roman" w:hAnsi="Times New Roman"/>
                <w:sz w:val="24"/>
                <w:szCs w:val="24"/>
              </w:rPr>
              <w:t xml:space="preserve">IV квартал </w:t>
            </w:r>
            <w:r w:rsidRPr="005304B7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281C6333" w14:textId="77777777" w:rsidR="00175432" w:rsidRPr="005304B7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304B7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</w:t>
            </w:r>
            <w:r w:rsidR="00107558">
              <w:rPr>
                <w:rFonts w:ascii="Times New Roman" w:eastAsia="Arial" w:hAnsi="Times New Roman"/>
                <w:sz w:val="24"/>
                <w:szCs w:val="24"/>
              </w:rPr>
              <w:t>бласної державної адміністрації.</w:t>
            </w:r>
            <w:r w:rsidRPr="005304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65EE3" w14:textId="77777777" w:rsidR="00175432" w:rsidRPr="005304B7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5304B7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</w:tcPr>
          <w:p w14:paraId="49430F9E" w14:textId="77777777" w:rsidR="00175432" w:rsidRPr="00A73247" w:rsidRDefault="00663DA8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>Державний бюджет</w:t>
            </w:r>
          </w:p>
          <w:p w14:paraId="2CBB027B" w14:textId="77777777" w:rsidR="00A72862" w:rsidRPr="00A73247" w:rsidRDefault="00A72862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D5AF99C" w14:textId="77777777" w:rsidR="00107558" w:rsidRDefault="00107558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6268FBE" w14:textId="77777777" w:rsidR="00107558" w:rsidRDefault="00107558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0653D18" w14:textId="77777777" w:rsidR="00107558" w:rsidRDefault="00107558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56E5B016" w14:textId="77777777" w:rsidR="00107558" w:rsidRDefault="00107558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44A12B30" w14:textId="77777777" w:rsidR="00A72862" w:rsidRPr="00A73247" w:rsidRDefault="005304B7" w:rsidP="00663DA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>Місцеві</w:t>
            </w:r>
            <w:r w:rsidR="00A72862" w:rsidRPr="00A73247">
              <w:rPr>
                <w:rFonts w:ascii="Times New Roman" w:eastAsia="Arial" w:hAnsi="Times New Roman"/>
                <w:sz w:val="24"/>
                <w:szCs w:val="24"/>
              </w:rPr>
              <w:t xml:space="preserve"> бюджет</w:t>
            </w:r>
            <w:r w:rsidRPr="00A73247">
              <w:rPr>
                <w:rFonts w:ascii="Times New Roman" w:eastAsia="Arial" w:hAnsi="Times New Roman"/>
                <w:sz w:val="24"/>
                <w:szCs w:val="24"/>
              </w:rPr>
              <w:t>и</w:t>
            </w:r>
          </w:p>
        </w:tc>
        <w:tc>
          <w:tcPr>
            <w:tcW w:w="1723" w:type="dxa"/>
            <w:shd w:val="clear" w:color="auto" w:fill="FFFFFF" w:themeFill="background1"/>
          </w:tcPr>
          <w:p w14:paraId="76029931" w14:textId="77777777" w:rsidR="00107558" w:rsidRPr="00A73247" w:rsidRDefault="00107558" w:rsidP="00107558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обсязі</w:t>
            </w:r>
            <w:r w:rsidRPr="00A73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субвенції з державного бюджету місцевим бюджетам</w:t>
            </w:r>
          </w:p>
          <w:p w14:paraId="5CBBD4F3" w14:textId="77777777" w:rsidR="00A72862" w:rsidRPr="00A73247" w:rsidRDefault="00A72862" w:rsidP="00A7286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CE55AB3" w14:textId="77777777" w:rsidR="00A72862" w:rsidRPr="00A73247" w:rsidRDefault="00A72862" w:rsidP="00A7286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 xml:space="preserve">330,587 </w:t>
            </w:r>
          </w:p>
          <w:p w14:paraId="75D5587F" w14:textId="77777777" w:rsidR="005304B7" w:rsidRPr="00A73247" w:rsidRDefault="005304B7" w:rsidP="00107558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B0E751" w14:textId="77777777" w:rsidR="00175432" w:rsidRPr="005304B7" w:rsidRDefault="005304B7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На утримання діючої мережі</w:t>
            </w:r>
            <w:r w:rsidR="00175432" w:rsidRPr="005304B7">
              <w:rPr>
                <w:rFonts w:ascii="Times New Roman" w:eastAsia="Arial" w:hAnsi="Times New Roman"/>
                <w:sz w:val="24"/>
                <w:szCs w:val="24"/>
              </w:rPr>
              <w:t xml:space="preserve"> інклюзивно-ресурсних центрів  у громадах та сільській місцевості</w:t>
            </w:r>
          </w:p>
        </w:tc>
      </w:tr>
      <w:tr w:rsidR="00663DA8" w:rsidRPr="008D3E3A" w14:paraId="05042FD5" w14:textId="77777777" w:rsidTr="00423333">
        <w:tc>
          <w:tcPr>
            <w:tcW w:w="516" w:type="dxa"/>
            <w:tcBorders>
              <w:top w:val="single" w:sz="4" w:space="0" w:color="auto"/>
            </w:tcBorders>
          </w:tcPr>
          <w:p w14:paraId="561BC492" w14:textId="7F857208" w:rsidR="00175432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0250FB78" w14:textId="2C14D5F2" w:rsidR="00175432" w:rsidRPr="008D3E3A" w:rsidRDefault="00175432" w:rsidP="00175432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Створення умов для організації національного та міжнародного обміну досвідом для фахівців освіти всіх рівнів, фахівців інклюзивно-ресурсних центрів, батьківських спільнот та профільних громадських об’єднань</w:t>
            </w:r>
          </w:p>
        </w:tc>
        <w:tc>
          <w:tcPr>
            <w:tcW w:w="2649" w:type="dxa"/>
          </w:tcPr>
          <w:p w14:paraId="77CBE9A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Налагодження контактів з профільними міжнародними агенціями та громадськими організаціями, що опікуються питаннями освіти осіб з особливими освітніми потребами</w:t>
            </w:r>
          </w:p>
        </w:tc>
        <w:tc>
          <w:tcPr>
            <w:tcW w:w="1260" w:type="dxa"/>
          </w:tcPr>
          <w:p w14:paraId="64D0B62A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IV квартал</w:t>
            </w:r>
          </w:p>
          <w:p w14:paraId="35E96710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5623A9AD" w14:textId="77777777" w:rsidR="00175432" w:rsidRPr="008D3E3A" w:rsidRDefault="00135D51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Управління освіти і науки обласної державної адміністрації </w:t>
            </w:r>
          </w:p>
          <w:p w14:paraId="31313C06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48D8746B" w14:textId="77777777" w:rsidR="00175432" w:rsidRPr="00A73247" w:rsidRDefault="00922631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32F6F63A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750E23E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Підписано меморандуми про співпрацю</w:t>
            </w:r>
          </w:p>
        </w:tc>
      </w:tr>
      <w:tr w:rsidR="00663DA8" w:rsidRPr="008D3E3A" w14:paraId="23370A85" w14:textId="77777777" w:rsidTr="00423333">
        <w:tc>
          <w:tcPr>
            <w:tcW w:w="516" w:type="dxa"/>
            <w:tcBorders>
              <w:bottom w:val="single" w:sz="4" w:space="0" w:color="auto"/>
            </w:tcBorders>
          </w:tcPr>
          <w:p w14:paraId="0CABA08D" w14:textId="13755AD4" w:rsidR="00175432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2F3AEE1B" w14:textId="71939835" w:rsidR="00175432" w:rsidRPr="008D3E3A" w:rsidRDefault="00175432" w:rsidP="00175432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Запровадження постійного моніторингу забезпечення спеціально створених умов для осіб з особливими освітніми потребами під час проходження зовнішнього незалежного оцінювання, вступних та екзаменаційних іспитів у частині дотримання вимог доступності</w:t>
            </w:r>
          </w:p>
        </w:tc>
        <w:tc>
          <w:tcPr>
            <w:tcW w:w="2649" w:type="dxa"/>
          </w:tcPr>
          <w:p w14:paraId="02CD5415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Підготовка пунктів проведення незалежного оцінювання для осіб з особливими освітніми потребами</w:t>
            </w:r>
          </w:p>
        </w:tc>
        <w:tc>
          <w:tcPr>
            <w:tcW w:w="1260" w:type="dxa"/>
          </w:tcPr>
          <w:p w14:paraId="1A1F6E0B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І квартал </w:t>
            </w:r>
          </w:p>
          <w:p w14:paraId="42CD4941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</w:tcPr>
          <w:p w14:paraId="5880285D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47996B40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Херсонський регіональний центр оцінювання якості освіти (за згодою)</w:t>
            </w:r>
          </w:p>
        </w:tc>
        <w:tc>
          <w:tcPr>
            <w:tcW w:w="1876" w:type="dxa"/>
          </w:tcPr>
          <w:p w14:paraId="63B44C91" w14:textId="77777777" w:rsidR="00175432" w:rsidRPr="00A73247" w:rsidRDefault="0084522B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1723" w:type="dxa"/>
          </w:tcPr>
          <w:p w14:paraId="16EA3A1C" w14:textId="77777777" w:rsidR="00175432" w:rsidRPr="00A73247" w:rsidRDefault="0084522B" w:rsidP="00F942FF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2291" w:type="dxa"/>
          </w:tcPr>
          <w:p w14:paraId="32C3F913" w14:textId="77777777" w:rsidR="00175432" w:rsidRPr="008D3E3A" w:rsidRDefault="00175432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Створено спеціальні умови під час проходження незалежного оцінювання для осіб з особливими освітніми потребами</w:t>
            </w:r>
          </w:p>
        </w:tc>
      </w:tr>
      <w:tr w:rsidR="00BE2FA9" w:rsidRPr="008D3E3A" w14:paraId="20A869D8" w14:textId="77777777" w:rsidTr="00423333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B6823" w14:textId="5539A7EC" w:rsidR="00BE2FA9" w:rsidRPr="008D3E3A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6B5B3" w14:textId="1D24C9CD" w:rsidR="00BE2FA9" w:rsidRPr="000C56B5" w:rsidRDefault="00BE2FA9" w:rsidP="00175432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0C56B5">
              <w:rPr>
                <w:rFonts w:ascii="Times New Roman" w:eastAsia="Calibri" w:hAnsi="Times New Roman"/>
                <w:sz w:val="24"/>
                <w:szCs w:val="24"/>
              </w:rPr>
              <w:t>Забезпечення закладів освіти умовами та інструментами для адаптації всіх інформаційних матеріалів для осіб з порушеннями зору, слуху та осіб з порушенням інтелектуального розвитку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</w:tcPr>
          <w:p w14:paraId="40A5433C" w14:textId="77777777" w:rsidR="00BE2FA9" w:rsidRPr="000C56B5" w:rsidRDefault="00BE2FA9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1. Запровадження в закладах освіти використання методів альтернативної допоміжної комунікації</w:t>
            </w:r>
          </w:p>
        </w:tc>
        <w:tc>
          <w:tcPr>
            <w:tcW w:w="1260" w:type="dxa"/>
            <w:shd w:val="clear" w:color="auto" w:fill="FFFFFF"/>
          </w:tcPr>
          <w:p w14:paraId="1F1118E9" w14:textId="77777777" w:rsidR="00BE2FA9" w:rsidRPr="000C56B5" w:rsidRDefault="00BE2FA9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І квартал</w:t>
            </w:r>
          </w:p>
          <w:p w14:paraId="6DF55A64" w14:textId="77777777" w:rsidR="00BE2FA9" w:rsidRPr="000C56B5" w:rsidRDefault="00BE2FA9" w:rsidP="00175432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/>
          </w:tcPr>
          <w:p w14:paraId="78998D8F" w14:textId="77777777" w:rsidR="00BE2FA9" w:rsidRPr="000C56B5" w:rsidRDefault="00BE2FA9" w:rsidP="00175432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35D8A20F" w14:textId="77777777" w:rsidR="00BE2FA9" w:rsidRPr="000C56B5" w:rsidRDefault="00BE2FA9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міські, селищні, сільські ради (за згодою)</w:t>
            </w:r>
          </w:p>
        </w:tc>
        <w:tc>
          <w:tcPr>
            <w:tcW w:w="1876" w:type="dxa"/>
            <w:shd w:val="clear" w:color="auto" w:fill="FFFFFF"/>
          </w:tcPr>
          <w:p w14:paraId="52CDDDB5" w14:textId="77777777" w:rsidR="00BE2FA9" w:rsidRPr="000C56B5" w:rsidRDefault="00BE2FA9" w:rsidP="001218DB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commentRangeStart w:id="0"/>
            <w:r w:rsidRPr="000C56B5">
              <w:rPr>
                <w:rFonts w:ascii="Times New Roman" w:eastAsia="Arial" w:hAnsi="Times New Roman"/>
                <w:sz w:val="24"/>
                <w:szCs w:val="24"/>
              </w:rPr>
              <w:t xml:space="preserve">Державний бюджет </w:t>
            </w:r>
          </w:p>
          <w:p w14:paraId="3EBF54CD" w14:textId="77777777" w:rsidR="00BE2FA9" w:rsidRPr="000C56B5" w:rsidRDefault="000C56B5" w:rsidP="001218DB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Місцеві</w:t>
            </w:r>
            <w:r w:rsidR="00BE2FA9" w:rsidRPr="000C56B5">
              <w:rPr>
                <w:rFonts w:ascii="Times New Roman" w:eastAsia="Arial" w:hAnsi="Times New Roman"/>
                <w:sz w:val="24"/>
                <w:szCs w:val="24"/>
              </w:rPr>
              <w:t xml:space="preserve"> бюджет</w:t>
            </w:r>
            <w:commentRangeEnd w:id="0"/>
            <w:r>
              <w:rPr>
                <w:rStyle w:val="ac"/>
              </w:rPr>
              <w:commentReference w:id="0"/>
            </w:r>
            <w:r>
              <w:rPr>
                <w:rFonts w:ascii="Times New Roman" w:eastAsia="Arial" w:hAnsi="Times New Roman"/>
                <w:sz w:val="24"/>
                <w:szCs w:val="24"/>
              </w:rPr>
              <w:t>и</w:t>
            </w:r>
          </w:p>
        </w:tc>
        <w:tc>
          <w:tcPr>
            <w:tcW w:w="1723" w:type="dxa"/>
            <w:shd w:val="clear" w:color="auto" w:fill="FFFFFF"/>
          </w:tcPr>
          <w:p w14:paraId="4D251377" w14:textId="77777777" w:rsidR="00BE2FA9" w:rsidRPr="000C56B5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обсязі субвенції з державного бюджету місцевим бюджетам на надання державної підтримки особам з особливими освітніми потребами</w:t>
            </w:r>
          </w:p>
        </w:tc>
        <w:tc>
          <w:tcPr>
            <w:tcW w:w="2291" w:type="dxa"/>
            <w:shd w:val="clear" w:color="auto" w:fill="FFFFFF"/>
          </w:tcPr>
          <w:p w14:paraId="226891A7" w14:textId="77777777" w:rsidR="00BE2FA9" w:rsidRPr="000C56B5" w:rsidRDefault="00BE2FA9" w:rsidP="00175432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Запроваджено відповідні методичні рекомендації</w:t>
            </w:r>
          </w:p>
        </w:tc>
      </w:tr>
      <w:tr w:rsidR="000C56B5" w:rsidRPr="008D3E3A" w14:paraId="481D0B90" w14:textId="77777777" w:rsidTr="00423333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14374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5BDFC" w14:textId="77777777" w:rsidR="000C56B5" w:rsidRPr="009007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</w:tcPr>
          <w:p w14:paraId="40466EB3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3C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З</w:t>
            </w:r>
            <w:r w:rsidRPr="00A93CC6">
              <w:rPr>
                <w:rFonts w:ascii="Times New Roman" w:eastAsia="Arial" w:hAnsi="Times New Roman"/>
                <w:sz w:val="24"/>
                <w:szCs w:val="24"/>
              </w:rPr>
              <w:t xml:space="preserve">абезпечення доставки навчального та іншого обладнання закладів освіти, зокрема навчально-методичних та </w:t>
            </w:r>
            <w:r w:rsidRPr="00A93CC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навчально-наочних посібників, підручників</w:t>
            </w:r>
          </w:p>
        </w:tc>
        <w:tc>
          <w:tcPr>
            <w:tcW w:w="1260" w:type="dxa"/>
            <w:shd w:val="clear" w:color="auto" w:fill="FFFFFF"/>
          </w:tcPr>
          <w:p w14:paraId="69119022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IV квартал</w:t>
            </w:r>
          </w:p>
          <w:p w14:paraId="61D350A6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t>2021 року</w:t>
            </w:r>
          </w:p>
          <w:p w14:paraId="02C9EA84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736873F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1EF45B2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735184EB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1965219C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t>IV квартал</w:t>
            </w:r>
          </w:p>
          <w:p w14:paraId="57C7296C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/>
          </w:tcPr>
          <w:p w14:paraId="0E8D0694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Управління освіти і науки обласної державної адміністрації</w:t>
            </w:r>
          </w:p>
          <w:p w14:paraId="53421649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95DC30A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  <w:shd w:val="clear" w:color="auto" w:fill="FFFFFF"/>
          </w:tcPr>
          <w:p w14:paraId="0D102C47" w14:textId="77777777" w:rsidR="000C56B5" w:rsidRPr="000C56B5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i/>
                <w:sz w:val="24"/>
                <w:szCs w:val="24"/>
              </w:rPr>
            </w:pPr>
            <w:commentRangeStart w:id="1"/>
            <w:r w:rsidRPr="000C56B5">
              <w:rPr>
                <w:rFonts w:ascii="Times New Roman" w:eastAsia="Arial" w:hAnsi="Times New Roman"/>
                <w:sz w:val="24"/>
                <w:szCs w:val="24"/>
              </w:rPr>
              <w:t xml:space="preserve">Державний бюджет </w:t>
            </w:r>
          </w:p>
          <w:p w14:paraId="407F6ADF" w14:textId="77777777" w:rsidR="000C56B5" w:rsidRPr="000C56B5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0C56B5">
              <w:rPr>
                <w:rFonts w:ascii="Times New Roman" w:eastAsia="Arial" w:hAnsi="Times New Roman"/>
                <w:sz w:val="24"/>
                <w:szCs w:val="24"/>
              </w:rPr>
              <w:t>Місцеві бюджет</w:t>
            </w:r>
            <w:commentRangeEnd w:id="1"/>
            <w:r>
              <w:rPr>
                <w:rStyle w:val="ac"/>
              </w:rPr>
              <w:commentReference w:id="1"/>
            </w:r>
            <w:r>
              <w:rPr>
                <w:rFonts w:ascii="Times New Roman" w:eastAsia="Arial" w:hAnsi="Times New Roman"/>
                <w:sz w:val="24"/>
                <w:szCs w:val="24"/>
              </w:rPr>
              <w:t>и</w:t>
            </w:r>
          </w:p>
        </w:tc>
        <w:tc>
          <w:tcPr>
            <w:tcW w:w="1723" w:type="dxa"/>
            <w:shd w:val="clear" w:color="auto" w:fill="FFFFFF"/>
          </w:tcPr>
          <w:p w14:paraId="7333C6FF" w14:textId="77777777" w:rsidR="000C56B5" w:rsidRPr="000C56B5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обсязі субвенції з державного бюджету місцевим бюджетам на </w:t>
            </w:r>
            <w:r w:rsidRPr="000C56B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надання державної підтримки особам з особливими освітніми потребами</w:t>
            </w:r>
          </w:p>
        </w:tc>
        <w:tc>
          <w:tcPr>
            <w:tcW w:w="2291" w:type="dxa"/>
            <w:shd w:val="clear" w:color="auto" w:fill="FFFFFF"/>
          </w:tcPr>
          <w:p w14:paraId="24662A9C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Забезпечено учнів 3, 4, 7, 8 класів підручниками, надрукованими шрифтом Брайля.</w:t>
            </w:r>
          </w:p>
          <w:p w14:paraId="7E7D73D1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  <w:p w14:paraId="2DD10E44" w14:textId="77777777" w:rsidR="000C56B5" w:rsidRPr="00A93CC6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3CC6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Забезпечено учнів 5, 9 класів підручниками, надрукованими шрифтом Брайля, забезпечено навчально-методичними посібниками вчителів, які працюють з особами з особливими освітніми потребами</w:t>
            </w:r>
          </w:p>
        </w:tc>
      </w:tr>
      <w:tr w:rsidR="000C56B5" w:rsidRPr="008D3E3A" w14:paraId="3361379B" w14:textId="77777777" w:rsidTr="00423333">
        <w:tc>
          <w:tcPr>
            <w:tcW w:w="516" w:type="dxa"/>
            <w:shd w:val="clear" w:color="auto" w:fill="FFFFFF"/>
          </w:tcPr>
          <w:p w14:paraId="1D516A62" w14:textId="7712F6A2" w:rsidR="000C56B5" w:rsidRPr="008D3E3A" w:rsidRDefault="00CC03BC" w:rsidP="00CC03BC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40" w:type="dxa"/>
            <w:shd w:val="clear" w:color="auto" w:fill="FFFFFF"/>
          </w:tcPr>
          <w:p w14:paraId="576AE7A0" w14:textId="3FC6B34E" w:rsidR="000C56B5" w:rsidRPr="008D3E3A" w:rsidRDefault="000C56B5" w:rsidP="000C56B5">
            <w:pPr>
              <w:pStyle w:val="a5"/>
              <w:tabs>
                <w:tab w:val="left" w:pos="244"/>
                <w:tab w:val="left" w:pos="612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Розроблення </w:t>
            </w: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інтерактивних довідників щодо освітнього ландшафту 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(освітнього середовища) </w:t>
            </w: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закладів вищої освіти</w:t>
            </w:r>
          </w:p>
        </w:tc>
        <w:tc>
          <w:tcPr>
            <w:tcW w:w="2649" w:type="dxa"/>
            <w:shd w:val="clear" w:color="auto" w:fill="FFFFFF"/>
          </w:tcPr>
          <w:p w14:paraId="3B44BD8A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Розроблення інтерактивних довідників щодо освітнього ландшафту (освітнього середовища) закладів вищої освіти</w:t>
            </w:r>
          </w:p>
        </w:tc>
        <w:tc>
          <w:tcPr>
            <w:tcW w:w="1260" w:type="dxa"/>
            <w:shd w:val="clear" w:color="auto" w:fill="FFFFFF"/>
          </w:tcPr>
          <w:p w14:paraId="57283DD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IV квартал</w:t>
            </w:r>
          </w:p>
          <w:p w14:paraId="3DD9FBE3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/>
          </w:tcPr>
          <w:p w14:paraId="6EA0FA9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30B99B5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заклади вищої освіти (за згодою)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br/>
            </w:r>
          </w:p>
        </w:tc>
        <w:tc>
          <w:tcPr>
            <w:tcW w:w="1876" w:type="dxa"/>
            <w:shd w:val="clear" w:color="auto" w:fill="FFFFFF"/>
          </w:tcPr>
          <w:p w14:paraId="5B892C73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90073A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  <w:shd w:val="clear" w:color="auto" w:fill="FFFFFF"/>
          </w:tcPr>
          <w:p w14:paraId="387B1B6F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/>
          </w:tcPr>
          <w:p w14:paraId="65D83B20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Розміщено на сайтах закладів вищої освіти інтерактивні довідники щодо освітнього ландшафту (освітнього середовища) </w:t>
            </w:r>
          </w:p>
        </w:tc>
      </w:tr>
      <w:tr w:rsidR="000C56B5" w:rsidRPr="008D3E3A" w14:paraId="2B663BD8" w14:textId="77777777" w:rsidTr="00423333">
        <w:tc>
          <w:tcPr>
            <w:tcW w:w="516" w:type="dxa"/>
            <w:shd w:val="clear" w:color="auto" w:fill="FFFFFF"/>
          </w:tcPr>
          <w:p w14:paraId="339F0E40" w14:textId="6B22517C" w:rsidR="000C56B5" w:rsidRPr="008D3E3A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2440" w:type="dxa"/>
            <w:shd w:val="clear" w:color="auto" w:fill="FFFFFF"/>
          </w:tcPr>
          <w:p w14:paraId="77F27806" w14:textId="4CC48B19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Створення умов для розвитку центрів підтримки учнів та студентів, які забезпечують консультування та методологічну підтримку щодо доступності, відповідності та прийнятності освітніх програм для </w:t>
            </w:r>
            <w:r w:rsidRPr="008D3E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всіх учасників освітнього процесу</w:t>
            </w:r>
          </w:p>
        </w:tc>
        <w:tc>
          <w:tcPr>
            <w:tcW w:w="2649" w:type="dxa"/>
            <w:shd w:val="clear" w:color="auto" w:fill="FFFFFF"/>
          </w:tcPr>
          <w:p w14:paraId="2BF38906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Створення дорожньої карти розвитку професійної (професійно-технічної) освіти для осіб з інвалідністю та інших маломобільних груп населення</w:t>
            </w:r>
          </w:p>
        </w:tc>
        <w:tc>
          <w:tcPr>
            <w:tcW w:w="1260" w:type="dxa"/>
            <w:shd w:val="clear" w:color="auto" w:fill="FFFFFF"/>
          </w:tcPr>
          <w:p w14:paraId="38DC74F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I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квартал</w:t>
            </w:r>
          </w:p>
          <w:p w14:paraId="7C80BE2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300" w:type="dxa"/>
            <w:shd w:val="clear" w:color="auto" w:fill="FFFFFF"/>
          </w:tcPr>
          <w:p w14:paraId="720C2A3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57BBB161" w14:textId="77777777" w:rsidR="000C56B5" w:rsidRPr="009007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заклади професійної (професійно-технічної) освіти (за згодою)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br/>
            </w:r>
          </w:p>
        </w:tc>
        <w:tc>
          <w:tcPr>
            <w:tcW w:w="1876" w:type="dxa"/>
            <w:shd w:val="clear" w:color="auto" w:fill="FFFFFF"/>
          </w:tcPr>
          <w:p w14:paraId="5690C1C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0073A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  <w:shd w:val="clear" w:color="auto" w:fill="FFFFFF"/>
          </w:tcPr>
          <w:p w14:paraId="0A66226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1" w:type="dxa"/>
            <w:shd w:val="clear" w:color="auto" w:fill="FFFFFF"/>
          </w:tcPr>
          <w:p w14:paraId="0B432EC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Опубліковано та проведено публічне обговорення дорожньої карти</w:t>
            </w:r>
          </w:p>
        </w:tc>
      </w:tr>
      <w:tr w:rsidR="000C56B5" w:rsidRPr="008D3E3A" w14:paraId="4023C591" w14:textId="77777777" w:rsidTr="00423333"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12A61D" w14:textId="3D6B3319" w:rsidR="000C56B5" w:rsidRPr="008D3E3A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7B5571" w14:textId="0AE95BAF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Забезпечення харчової безбар’єрності в усіх закладах освіти шляхом запровадження моніторингу харчових потреб та популяризації здорового харчування</w:t>
            </w: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/>
          </w:tcPr>
          <w:p w14:paraId="10899EA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 закладів освіти сучасним обладнанням для харчоблоків у рамках субвенції з державного бюджету місцевим бюджетам на реалізацію програми «Спроможна школа для кращих результатів»</w:t>
            </w:r>
          </w:p>
        </w:tc>
        <w:tc>
          <w:tcPr>
            <w:tcW w:w="1260" w:type="dxa"/>
            <w:shd w:val="clear" w:color="auto" w:fill="FFFFFF"/>
          </w:tcPr>
          <w:p w14:paraId="0A9834E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IV квартал</w:t>
            </w:r>
          </w:p>
          <w:p w14:paraId="0C32394B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/>
          </w:tcPr>
          <w:p w14:paraId="7DCCAEA3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30548C7E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міські, селищні, сільські ради (за згодою)</w:t>
            </w:r>
          </w:p>
          <w:p w14:paraId="369E7931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6" w:type="dxa"/>
            <w:shd w:val="clear" w:color="auto" w:fill="FFFFFF"/>
          </w:tcPr>
          <w:p w14:paraId="789C2836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Державний бюджет</w:t>
            </w:r>
          </w:p>
          <w:p w14:paraId="19BF9089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518A76B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Місцеві бюджети</w:t>
            </w:r>
          </w:p>
        </w:tc>
        <w:tc>
          <w:tcPr>
            <w:tcW w:w="1723" w:type="dxa"/>
            <w:shd w:val="clear" w:color="auto" w:fill="FFFFFF"/>
          </w:tcPr>
          <w:p w14:paraId="7DDB90EE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3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50000,0 </w:t>
            </w:r>
          </w:p>
          <w:p w14:paraId="6B53EB3A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обсязі</w:t>
            </w:r>
            <w:r w:rsidRPr="00A732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субвенції з державного бюджету місцевим бюджетам</w:t>
            </w:r>
          </w:p>
          <w:p w14:paraId="0D73F826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50388D2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FFFFFF"/>
          </w:tcPr>
          <w:p w14:paraId="63A4B0E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Оновлено матеріально-технічну базу закладів освіти</w:t>
            </w:r>
          </w:p>
        </w:tc>
      </w:tr>
      <w:tr w:rsidR="000C56B5" w:rsidRPr="008D3E3A" w14:paraId="0F5B8E02" w14:textId="77777777" w:rsidTr="00423333">
        <w:tc>
          <w:tcPr>
            <w:tcW w:w="516" w:type="dxa"/>
            <w:tcBorders>
              <w:top w:val="single" w:sz="4" w:space="0" w:color="auto"/>
            </w:tcBorders>
          </w:tcPr>
          <w:p w14:paraId="375F2D3C" w14:textId="4269F668" w:rsidR="000C56B5" w:rsidRPr="008D3E3A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59571D4E" w14:textId="0B2D743F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Забезпечення доступності всієї інфраструктури освітніх середовищ (гуртожитки, центри дозвілля, бібліотеки, архіви, актові зали тощо)</w:t>
            </w:r>
          </w:p>
        </w:tc>
        <w:tc>
          <w:tcPr>
            <w:tcW w:w="2649" w:type="dxa"/>
          </w:tcPr>
          <w:p w14:paraId="7E0C1040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Здійснення навчання представників управлінських структур на місцевому рівні щодо доступності інфраструктури освітнього середовища</w:t>
            </w:r>
          </w:p>
        </w:tc>
        <w:tc>
          <w:tcPr>
            <w:tcW w:w="1260" w:type="dxa"/>
          </w:tcPr>
          <w:p w14:paraId="2FD85C11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ІI</w:t>
            </w:r>
            <w:r w:rsidRPr="008D3E3A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br/>
              <w:t>2022 року</w:t>
            </w:r>
          </w:p>
        </w:tc>
        <w:tc>
          <w:tcPr>
            <w:tcW w:w="2300" w:type="dxa"/>
          </w:tcPr>
          <w:p w14:paraId="1A50B28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Департамент реалізації гуманітарної політики обласної державної адміністрації;</w:t>
            </w:r>
          </w:p>
          <w:p w14:paraId="24DE6B7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3CCABF1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73247">
              <w:rPr>
                <w:rFonts w:ascii="Times New Roman" w:hAnsi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723" w:type="dxa"/>
          </w:tcPr>
          <w:p w14:paraId="5DECE084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247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2291" w:type="dxa"/>
          </w:tcPr>
          <w:p w14:paraId="636E08F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Проведено навчання представників управлінських структур</w:t>
            </w:r>
          </w:p>
        </w:tc>
      </w:tr>
      <w:tr w:rsidR="000C56B5" w:rsidRPr="001D76F7" w14:paraId="39A55B98" w14:textId="77777777" w:rsidTr="00423333">
        <w:tc>
          <w:tcPr>
            <w:tcW w:w="516" w:type="dxa"/>
          </w:tcPr>
          <w:p w14:paraId="466389C4" w14:textId="4E2BECF6" w:rsidR="000C56B5" w:rsidRPr="001D76F7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2440" w:type="dxa"/>
          </w:tcPr>
          <w:p w14:paraId="73A8F007" w14:textId="2A57F34B" w:rsidR="000C56B5" w:rsidRPr="001D76F7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1D76F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Запровадження та поширення практики забезпечення доступності заходів у позанавчальний час для всіх учасників освітнього процесу</w:t>
            </w:r>
          </w:p>
        </w:tc>
        <w:tc>
          <w:tcPr>
            <w:tcW w:w="2649" w:type="dxa"/>
          </w:tcPr>
          <w:p w14:paraId="330D35DA" w14:textId="77777777" w:rsidR="000C56B5" w:rsidRPr="001D76F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1D76F7">
              <w:rPr>
                <w:rFonts w:ascii="Times New Roman" w:eastAsia="Arial" w:hAnsi="Times New Roman"/>
                <w:sz w:val="24"/>
                <w:szCs w:val="24"/>
              </w:rPr>
              <w:t>Проведення конкурсу фото- та відеоробіт «Безпечна країна» в номінації: «Безбар’єрність» для здобувачів освіти щодо кращих практик доступності закладів освіти</w:t>
            </w:r>
          </w:p>
        </w:tc>
        <w:tc>
          <w:tcPr>
            <w:tcW w:w="1260" w:type="dxa"/>
          </w:tcPr>
          <w:p w14:paraId="1CD7C909" w14:textId="77777777" w:rsidR="000C56B5" w:rsidRPr="001D76F7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76F7">
              <w:rPr>
                <w:rFonts w:ascii="Times New Roman" w:hAnsi="Times New Roman"/>
                <w:sz w:val="24"/>
                <w:szCs w:val="24"/>
                <w:lang w:eastAsia="uk-UA"/>
              </w:rPr>
              <w:t>Щороку</w:t>
            </w:r>
          </w:p>
        </w:tc>
        <w:tc>
          <w:tcPr>
            <w:tcW w:w="2300" w:type="dxa"/>
          </w:tcPr>
          <w:p w14:paraId="1D4813C5" w14:textId="77777777" w:rsidR="000C56B5" w:rsidRPr="001D76F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1D76F7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</w:tc>
        <w:tc>
          <w:tcPr>
            <w:tcW w:w="1876" w:type="dxa"/>
          </w:tcPr>
          <w:p w14:paraId="712B3A90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2272A9E4" w14:textId="77777777" w:rsidR="000C56B5" w:rsidRPr="001D76F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14:paraId="23EC41CF" w14:textId="77777777" w:rsidR="000C56B5" w:rsidRPr="001D76F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D76F7">
              <w:rPr>
                <w:rFonts w:ascii="Times New Roman" w:eastAsia="Arial" w:hAnsi="Times New Roman"/>
                <w:sz w:val="24"/>
                <w:szCs w:val="24"/>
              </w:rPr>
              <w:t>Проведено конкурс</w:t>
            </w:r>
          </w:p>
        </w:tc>
      </w:tr>
      <w:tr w:rsidR="000C56B5" w:rsidRPr="008D3E3A" w14:paraId="0F6BDD96" w14:textId="77777777" w:rsidTr="00423333">
        <w:tc>
          <w:tcPr>
            <w:tcW w:w="516" w:type="dxa"/>
            <w:tcBorders>
              <w:bottom w:val="single" w:sz="4" w:space="0" w:color="auto"/>
            </w:tcBorders>
          </w:tcPr>
          <w:p w14:paraId="17B7B54E" w14:textId="2632DB3F" w:rsidR="000C56B5" w:rsidRPr="008D3E3A" w:rsidRDefault="00CC03BC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7DB33811" w14:textId="40BCE081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Створення відповідних умов і привітної атмосфери для взаємодії учасників освітнього процесу і збільшення </w:t>
            </w: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залученості батьків та опікунів шляхом проведення спільних заходів, тренінгів, семінарів</w:t>
            </w:r>
          </w:p>
        </w:tc>
        <w:tc>
          <w:tcPr>
            <w:tcW w:w="2649" w:type="dxa"/>
          </w:tcPr>
          <w:p w14:paraId="5F7ACFFF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lastRenderedPageBreak/>
              <w:t xml:space="preserve">Впровадження методичних рекомендацій для закладів освіти щодо створення відповідних умов і привітної 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атмосфери для взаємодії учасників освітнього процесу і збільшення залученості батьків та опікунів</w:t>
            </w:r>
          </w:p>
        </w:tc>
        <w:tc>
          <w:tcPr>
            <w:tcW w:w="1260" w:type="dxa"/>
          </w:tcPr>
          <w:p w14:paraId="058A522A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IV квартал</w:t>
            </w:r>
          </w:p>
          <w:p w14:paraId="267ED7A5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2022 року</w:t>
            </w:r>
          </w:p>
        </w:tc>
        <w:tc>
          <w:tcPr>
            <w:tcW w:w="2300" w:type="dxa"/>
          </w:tcPr>
          <w:p w14:paraId="6B23AC3B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</w:tc>
        <w:tc>
          <w:tcPr>
            <w:tcW w:w="1876" w:type="dxa"/>
          </w:tcPr>
          <w:p w14:paraId="529344B9" w14:textId="77777777" w:rsidR="000C56B5" w:rsidRPr="00A73247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A73247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76C05F9F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14:paraId="4D213E9D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Поширено серед закладів освіти методичні рекомендації</w:t>
            </w:r>
          </w:p>
        </w:tc>
      </w:tr>
      <w:tr w:rsidR="000C56B5" w:rsidRPr="008D3E3A" w14:paraId="4A356E62" w14:textId="77777777" w:rsidTr="00423333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08116" w14:textId="57198826" w:rsidR="000C56B5" w:rsidRPr="008D3E3A" w:rsidRDefault="00CC03BC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41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4E84E" w14:textId="0FE8CE52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Розроблення та впровадження державної системи раннього втручання</w:t>
            </w: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2150E4D6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1. Розроблення специфікації послуги з раннього втручання</w:t>
            </w:r>
          </w:p>
        </w:tc>
        <w:tc>
          <w:tcPr>
            <w:tcW w:w="1260" w:type="dxa"/>
          </w:tcPr>
          <w:p w14:paraId="376799D1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I</w:t>
            </w: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квартал</w:t>
            </w:r>
          </w:p>
          <w:p w14:paraId="1C84C9F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2022 року</w:t>
            </w:r>
          </w:p>
        </w:tc>
        <w:tc>
          <w:tcPr>
            <w:tcW w:w="2300" w:type="dxa"/>
          </w:tcPr>
          <w:p w14:paraId="2D4580F8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Департамент соціального розвитку обласної державної адміністрації;</w:t>
            </w:r>
          </w:p>
          <w:p w14:paraId="5E717B51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</w:tc>
        <w:tc>
          <w:tcPr>
            <w:tcW w:w="1876" w:type="dxa"/>
          </w:tcPr>
          <w:p w14:paraId="4294A85E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E6049C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5C0C051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</w:tcPr>
          <w:p w14:paraId="542C7FF3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Надано пропозиції до відповідного проєкту акта Кабінету Міністрів України</w:t>
            </w:r>
          </w:p>
        </w:tc>
      </w:tr>
      <w:tr w:rsidR="000C56B5" w:rsidRPr="008D3E3A" w14:paraId="0EABB841" w14:textId="77777777" w:rsidTr="00423333">
        <w:tc>
          <w:tcPr>
            <w:tcW w:w="5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D88F06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F3C8D2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</w:tcPr>
          <w:p w14:paraId="276C130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2. Утворення центрів раннього втручання на базі діючої мережі закладів освіти з урахуванням потреб та фінансових можливостей відповідної адміністративно-територіальної одиниці</w:t>
            </w:r>
          </w:p>
        </w:tc>
        <w:tc>
          <w:tcPr>
            <w:tcW w:w="1260" w:type="dxa"/>
          </w:tcPr>
          <w:p w14:paraId="7821EAB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IV квартал</w:t>
            </w:r>
          </w:p>
          <w:p w14:paraId="4836A17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2022 року</w:t>
            </w:r>
          </w:p>
        </w:tc>
        <w:tc>
          <w:tcPr>
            <w:tcW w:w="2300" w:type="dxa"/>
          </w:tcPr>
          <w:p w14:paraId="72DDE9A3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Департамент соціального розвитку обласної державної адміністрації;</w:t>
            </w:r>
          </w:p>
          <w:p w14:paraId="4658F904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адміністрації;</w:t>
            </w:r>
          </w:p>
          <w:p w14:paraId="5E55F06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згодою);</w:t>
            </w:r>
          </w:p>
          <w:p w14:paraId="21F3C8F4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070FAF4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6049C">
              <w:rPr>
                <w:rFonts w:ascii="Times New Roman" w:eastAsia="Calibri" w:hAnsi="Times New Roman"/>
                <w:sz w:val="24"/>
                <w:szCs w:val="24"/>
              </w:rPr>
              <w:t>Не потребує</w:t>
            </w:r>
          </w:p>
          <w:p w14:paraId="295832F7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6049C">
              <w:rPr>
                <w:rFonts w:ascii="Times New Roman" w:eastAsia="Calibri" w:hAnsi="Times New Roman"/>
                <w:sz w:val="24"/>
                <w:szCs w:val="24"/>
              </w:rPr>
              <w:t>фінансування</w:t>
            </w:r>
          </w:p>
        </w:tc>
        <w:tc>
          <w:tcPr>
            <w:tcW w:w="1723" w:type="dxa"/>
          </w:tcPr>
          <w:p w14:paraId="37A7FCC8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2995056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Утворено центри раннього втручання</w:t>
            </w:r>
          </w:p>
        </w:tc>
      </w:tr>
      <w:tr w:rsidR="000C56B5" w:rsidRPr="008D3E3A" w14:paraId="44B0A9E7" w14:textId="77777777" w:rsidTr="00423333"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5440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515C2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7308CB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3. Розроблення специфікації послуги з раннього втручання в закладах охорони здоров’я</w:t>
            </w:r>
          </w:p>
        </w:tc>
        <w:tc>
          <w:tcPr>
            <w:tcW w:w="1260" w:type="dxa"/>
            <w:shd w:val="clear" w:color="auto" w:fill="FFFFFF" w:themeFill="background1"/>
          </w:tcPr>
          <w:p w14:paraId="2C932F2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І квартал</w:t>
            </w:r>
          </w:p>
          <w:p w14:paraId="2583FF5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53E7C48F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Департамент здоров’я обласної державної адміністрації;</w:t>
            </w:r>
          </w:p>
          <w:p w14:paraId="7D6C89DF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</w:t>
            </w:r>
          </w:p>
        </w:tc>
        <w:tc>
          <w:tcPr>
            <w:tcW w:w="1876" w:type="dxa"/>
            <w:shd w:val="clear" w:color="auto" w:fill="FFFFFF" w:themeFill="background1"/>
          </w:tcPr>
          <w:p w14:paraId="47F22DBE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E6049C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  <w:shd w:val="clear" w:color="auto" w:fill="FFFFFF" w:themeFill="background1"/>
          </w:tcPr>
          <w:p w14:paraId="30D1A41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75901C6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Вивчення  програми  та запровадження механізму надання послуг</w:t>
            </w:r>
          </w:p>
          <w:p w14:paraId="349EA1C4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0C56B5" w:rsidRPr="008D3E3A" w14:paraId="46CAEB24" w14:textId="77777777" w:rsidTr="00423333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2EA9E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F9838" w14:textId="77777777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9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9FA0F8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Розроблення плану дій щодо підготовки фахівців із раннього втручання</w:t>
            </w:r>
          </w:p>
        </w:tc>
        <w:tc>
          <w:tcPr>
            <w:tcW w:w="1260" w:type="dxa"/>
            <w:shd w:val="clear" w:color="auto" w:fill="FFFFFF" w:themeFill="background1"/>
          </w:tcPr>
          <w:p w14:paraId="6AEF110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IІІ – ІV квартали 2022 року</w:t>
            </w:r>
          </w:p>
        </w:tc>
        <w:tc>
          <w:tcPr>
            <w:tcW w:w="2300" w:type="dxa"/>
            <w:shd w:val="clear" w:color="auto" w:fill="FFFFFF" w:themeFill="background1"/>
          </w:tcPr>
          <w:p w14:paraId="706DFA15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Департамент здоров’я обласної державної адміністрації</w:t>
            </w:r>
          </w:p>
        </w:tc>
        <w:tc>
          <w:tcPr>
            <w:tcW w:w="1876" w:type="dxa"/>
            <w:shd w:val="clear" w:color="auto" w:fill="FFFFFF" w:themeFill="background1"/>
          </w:tcPr>
          <w:p w14:paraId="461FFA3B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E6049C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  <w:shd w:val="clear" w:color="auto" w:fill="FFFFFF" w:themeFill="background1"/>
          </w:tcPr>
          <w:p w14:paraId="53CF73FD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58A1807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Видано відповідний наказ, проведено навчання</w:t>
            </w:r>
          </w:p>
        </w:tc>
      </w:tr>
      <w:tr w:rsidR="000C56B5" w:rsidRPr="008D3E3A" w14:paraId="33BA5352" w14:textId="77777777" w:rsidTr="00423333">
        <w:tc>
          <w:tcPr>
            <w:tcW w:w="516" w:type="dxa"/>
          </w:tcPr>
          <w:p w14:paraId="71AB929A" w14:textId="0C198C7A" w:rsidR="000C56B5" w:rsidRPr="008D3E3A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42</w:t>
            </w:r>
          </w:p>
        </w:tc>
        <w:tc>
          <w:tcPr>
            <w:tcW w:w="2440" w:type="dxa"/>
          </w:tcPr>
          <w:p w14:paraId="5E240592" w14:textId="184C0B90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Оновлення порядку організації інклюзивного навчання в закладах загальної середньої освіти з метою забезпечення якісної організації інклюзивного навчання, забезпечення індивідуалізації освітнього процесу для осіб з особливими освітніми потребами, зокрема шляхом забезпечення їх додатковими послугами</w:t>
            </w:r>
          </w:p>
        </w:tc>
        <w:tc>
          <w:tcPr>
            <w:tcW w:w="2649" w:type="dxa"/>
          </w:tcPr>
          <w:p w14:paraId="26F693F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Впровадження методичних рекомендацій щодо організації інклюзивного навчання відповідно до нової редакції порядку організації інклюзивного навчання в закладах загальної середньої освіти</w:t>
            </w:r>
          </w:p>
        </w:tc>
        <w:tc>
          <w:tcPr>
            <w:tcW w:w="1260" w:type="dxa"/>
          </w:tcPr>
          <w:p w14:paraId="5C977A71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IV квартал</w:t>
            </w:r>
          </w:p>
          <w:p w14:paraId="3A4129BA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  <w:lang w:eastAsia="uk-UA"/>
              </w:rPr>
              <w:t>2022 року</w:t>
            </w:r>
          </w:p>
        </w:tc>
        <w:tc>
          <w:tcPr>
            <w:tcW w:w="2300" w:type="dxa"/>
          </w:tcPr>
          <w:p w14:paraId="70EA94E4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Управління освіти і науки обласної державної адміністрації</w:t>
            </w:r>
          </w:p>
        </w:tc>
        <w:tc>
          <w:tcPr>
            <w:tcW w:w="1876" w:type="dxa"/>
          </w:tcPr>
          <w:p w14:paraId="725EE43D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E6049C">
              <w:rPr>
                <w:rFonts w:ascii="Times New Roman" w:eastAsia="Arial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</w:tcPr>
          <w:p w14:paraId="3D66EA4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03671D9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Поширено в закладах освіти відповідні рекомендації</w:t>
            </w:r>
          </w:p>
        </w:tc>
      </w:tr>
      <w:tr w:rsidR="000C56B5" w:rsidRPr="008D3E3A" w14:paraId="2C4A3B4D" w14:textId="77777777" w:rsidTr="00423333">
        <w:tc>
          <w:tcPr>
            <w:tcW w:w="516" w:type="dxa"/>
          </w:tcPr>
          <w:p w14:paraId="0E1B4131" w14:textId="369DA8B5" w:rsidR="000C56B5" w:rsidRPr="008D3E3A" w:rsidRDefault="00CC03BC" w:rsidP="00CC03BC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2440" w:type="dxa"/>
          </w:tcPr>
          <w:p w14:paraId="46A0A475" w14:textId="2EEF107D" w:rsidR="000C56B5" w:rsidRPr="008D3E3A" w:rsidRDefault="000C56B5" w:rsidP="000C56B5">
            <w:pPr>
              <w:pStyle w:val="a5"/>
              <w:tabs>
                <w:tab w:val="left" w:pos="244"/>
                <w:tab w:val="left" w:pos="613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Проведення просвітницької кампанії, спрямованої на боротьбу з гендерними стереотипами, расизмом у спорті, насильством у спорті та дискримінацією осіб з інвалідністю та інших </w:t>
            </w: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маломобільних груп населення</w:t>
            </w:r>
          </w:p>
        </w:tc>
        <w:tc>
          <w:tcPr>
            <w:tcW w:w="2649" w:type="dxa"/>
          </w:tcPr>
          <w:p w14:paraId="1BD1E410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Організація роботи, спрямованої на боротьбу з гендерними стереотипами, расизмом у спорті, насильством у спорті та дискримінацією стосовно будь-якої особи за ознакою інвалідності, осіб з інвалідністю та інших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маломобільних груп населення</w:t>
            </w:r>
          </w:p>
        </w:tc>
        <w:tc>
          <w:tcPr>
            <w:tcW w:w="1260" w:type="dxa"/>
          </w:tcPr>
          <w:p w14:paraId="5E26FF3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IV квартал</w:t>
            </w:r>
          </w:p>
          <w:p w14:paraId="191902A6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2021 року</w:t>
            </w:r>
          </w:p>
        </w:tc>
        <w:tc>
          <w:tcPr>
            <w:tcW w:w="2300" w:type="dxa"/>
          </w:tcPr>
          <w:p w14:paraId="6F8759D7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Управління фізичної культури, молоді та спорту </w:t>
            </w:r>
            <w:r w:rsidRPr="008D3E3A">
              <w:rPr>
                <w:rFonts w:ascii="Times New Roman" w:eastAsia="Arial" w:hAnsi="Times New Roman"/>
                <w:sz w:val="24"/>
                <w:szCs w:val="24"/>
              </w:rPr>
              <w:t>обласної державної адміністрації;</w:t>
            </w:r>
          </w:p>
          <w:p w14:paraId="368E8E82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>міські, селищні, сільські ради (за згодою);</w:t>
            </w:r>
            <w:r w:rsidRPr="008D3E3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br/>
            </w:r>
            <w:r w:rsidRPr="008D3E3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відокремлений підрозділ громадської організації </w:t>
            </w:r>
            <w:r w:rsidRPr="008D3E3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«Українська спортивна федерація інвалідів з вадами розумового і фізичного розвитку» в Херсонському регіоні (за згодою)</w:t>
            </w:r>
          </w:p>
        </w:tc>
        <w:tc>
          <w:tcPr>
            <w:tcW w:w="1876" w:type="dxa"/>
          </w:tcPr>
          <w:p w14:paraId="15FDDF61" w14:textId="77777777" w:rsidR="000C56B5" w:rsidRPr="00E6049C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049C">
              <w:rPr>
                <w:rFonts w:ascii="Times New Roman" w:hAnsi="Times New Roman"/>
                <w:sz w:val="24"/>
                <w:szCs w:val="24"/>
              </w:rPr>
              <w:lastRenderedPageBreak/>
              <w:t>Не потребує фінансування</w:t>
            </w:r>
          </w:p>
        </w:tc>
        <w:tc>
          <w:tcPr>
            <w:tcW w:w="1723" w:type="dxa"/>
          </w:tcPr>
          <w:p w14:paraId="476F5106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4842348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3E3A">
              <w:rPr>
                <w:rFonts w:ascii="Times New Roman" w:hAnsi="Times New Roman"/>
                <w:sz w:val="24"/>
                <w:szCs w:val="24"/>
              </w:rPr>
              <w:t xml:space="preserve">Проведено просвітницькі заходи, спрямовані на формування гуманного світогляду та дотримання принципу рівності у спорті, недопущення дискримінації стосовно будь-якої </w:t>
            </w:r>
            <w:r w:rsidRPr="008D3E3A">
              <w:rPr>
                <w:rFonts w:ascii="Times New Roman" w:hAnsi="Times New Roman"/>
                <w:sz w:val="24"/>
                <w:szCs w:val="24"/>
              </w:rPr>
              <w:lastRenderedPageBreak/>
              <w:t>особи за ознакою інвалідності</w:t>
            </w:r>
          </w:p>
        </w:tc>
      </w:tr>
      <w:tr w:rsidR="000C56B5" w:rsidRPr="008D3E3A" w14:paraId="3FBF88BE" w14:textId="77777777" w:rsidTr="000030C0">
        <w:tc>
          <w:tcPr>
            <w:tcW w:w="516" w:type="dxa"/>
            <w:shd w:val="clear" w:color="auto" w:fill="FFFFFF" w:themeFill="background1"/>
          </w:tcPr>
          <w:p w14:paraId="36D1D104" w14:textId="73BA9C51" w:rsidR="000C56B5" w:rsidRPr="008D3E3A" w:rsidRDefault="00CC03BC" w:rsidP="00CC03BC">
            <w:pPr>
              <w:pStyle w:val="a5"/>
              <w:tabs>
                <w:tab w:val="left" w:pos="244"/>
                <w:tab w:val="left" w:pos="604"/>
              </w:tabs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44</w:t>
            </w:r>
          </w:p>
        </w:tc>
        <w:tc>
          <w:tcPr>
            <w:tcW w:w="2440" w:type="dxa"/>
            <w:shd w:val="clear" w:color="auto" w:fill="FFFFFF" w:themeFill="background1"/>
          </w:tcPr>
          <w:p w14:paraId="2A4C4A57" w14:textId="612B0482" w:rsidR="000C56B5" w:rsidRPr="008D3E3A" w:rsidRDefault="000C56B5" w:rsidP="000C56B5">
            <w:pPr>
              <w:pStyle w:val="a5"/>
              <w:tabs>
                <w:tab w:val="left" w:pos="244"/>
                <w:tab w:val="left" w:pos="604"/>
              </w:tabs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Підвищення рівня підприємницької культури ведення господарської діяльності, зокрема серед таких груп населення, як молодь, жінки, особи похилого віку, особи з інвалідністю, шляхом напрацювання навчальних матеріалів та їх поширення у доступних форматах</w:t>
            </w:r>
          </w:p>
        </w:tc>
        <w:tc>
          <w:tcPr>
            <w:tcW w:w="2649" w:type="dxa"/>
            <w:shd w:val="clear" w:color="auto" w:fill="FFFFFF" w:themeFill="background1"/>
          </w:tcPr>
          <w:p w14:paraId="4BCCB4CF" w14:textId="01F1DCA9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Забезпечення підтримки запровадження навчальних курсів з підприємн</w:t>
            </w:r>
            <w:bookmarkStart w:id="2" w:name="_GoBack"/>
            <w:bookmarkEnd w:id="2"/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ицтва </w:t>
            </w:r>
          </w:p>
        </w:tc>
        <w:tc>
          <w:tcPr>
            <w:tcW w:w="1260" w:type="dxa"/>
            <w:shd w:val="clear" w:color="auto" w:fill="FFFFFF" w:themeFill="background1"/>
          </w:tcPr>
          <w:p w14:paraId="074154CD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Постійно</w:t>
            </w:r>
          </w:p>
        </w:tc>
        <w:tc>
          <w:tcPr>
            <w:tcW w:w="2300" w:type="dxa"/>
            <w:shd w:val="clear" w:color="auto" w:fill="FFFFFF" w:themeFill="background1"/>
          </w:tcPr>
          <w:p w14:paraId="09CB2384" w14:textId="77777777" w:rsidR="000C56B5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>Департамент розвитку економіки обласної державної адміністрації</w:t>
            </w:r>
            <w:r w:rsidR="000030C0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14:paraId="705EE9A7" w14:textId="4C18DE3D" w:rsidR="000030C0" w:rsidRPr="008D3E3A" w:rsidRDefault="000030C0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Arial" w:hAnsi="Times New Roman"/>
                <w:sz w:val="24"/>
                <w:szCs w:val="24"/>
              </w:rPr>
              <w:t>Херсонський обласний центр зайнятості населення</w:t>
            </w:r>
          </w:p>
        </w:tc>
        <w:tc>
          <w:tcPr>
            <w:tcW w:w="1876" w:type="dxa"/>
            <w:shd w:val="clear" w:color="auto" w:fill="FFFFFF" w:themeFill="background1"/>
          </w:tcPr>
          <w:p w14:paraId="3DB79B00" w14:textId="726CD343" w:rsidR="00FA7DF1" w:rsidRPr="0049212E" w:rsidRDefault="000030C0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E6049C">
              <w:rPr>
                <w:rFonts w:ascii="Times New Roman" w:hAnsi="Times New Roman"/>
                <w:sz w:val="24"/>
                <w:szCs w:val="24"/>
              </w:rPr>
              <w:t>Не потребує фінансування</w:t>
            </w:r>
          </w:p>
        </w:tc>
        <w:tc>
          <w:tcPr>
            <w:tcW w:w="1723" w:type="dxa"/>
            <w:shd w:val="clear" w:color="auto" w:fill="FFFFFF" w:themeFill="background1"/>
          </w:tcPr>
          <w:p w14:paraId="000721E0" w14:textId="57A5C4E2" w:rsidR="000C56B5" w:rsidRPr="007E0220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2291" w:type="dxa"/>
            <w:shd w:val="clear" w:color="auto" w:fill="FFFFFF" w:themeFill="background1"/>
          </w:tcPr>
          <w:p w14:paraId="2CAB393C" w14:textId="77777777" w:rsidR="000C56B5" w:rsidRPr="008D3E3A" w:rsidRDefault="000C56B5" w:rsidP="000C56B5">
            <w:pPr>
              <w:pStyle w:val="a5"/>
              <w:spacing w:before="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D3E3A">
              <w:rPr>
                <w:rFonts w:ascii="Times New Roman" w:eastAsia="Calibri" w:hAnsi="Times New Roman"/>
                <w:sz w:val="24"/>
                <w:szCs w:val="24"/>
              </w:rPr>
              <w:t xml:space="preserve">Проведено навчальні курси з підприємництва </w:t>
            </w:r>
          </w:p>
        </w:tc>
      </w:tr>
    </w:tbl>
    <w:p w14:paraId="10F70E80" w14:textId="6671E94F" w:rsidR="00EC2E39" w:rsidRDefault="00EC2E39" w:rsidP="00AE6EDA">
      <w:pPr>
        <w:spacing w:line="230" w:lineRule="auto"/>
        <w:jc w:val="both"/>
        <w:rPr>
          <w:rFonts w:ascii="Times New Roman" w:hAnsi="Times New Roman"/>
          <w:sz w:val="16"/>
          <w:szCs w:val="16"/>
        </w:rPr>
      </w:pPr>
    </w:p>
    <w:p w14:paraId="274C858C" w14:textId="77777777" w:rsidR="00D9322B" w:rsidRPr="00D9322B" w:rsidRDefault="00D9322B" w:rsidP="00D9322B">
      <w:pPr>
        <w:pStyle w:val="af1"/>
        <w:rPr>
          <w:sz w:val="24"/>
          <w:szCs w:val="24"/>
          <w:lang w:val="uk-UA"/>
        </w:rPr>
      </w:pPr>
      <w:r w:rsidRPr="00D9322B">
        <w:rPr>
          <w:sz w:val="24"/>
          <w:szCs w:val="24"/>
          <w:lang w:val="uk-UA"/>
        </w:rPr>
        <w:t xml:space="preserve">Начальник управління містобудування </w:t>
      </w:r>
    </w:p>
    <w:p w14:paraId="3DAC0149" w14:textId="77777777" w:rsidR="00D9322B" w:rsidRPr="00D9322B" w:rsidRDefault="00D9322B" w:rsidP="00D9322B">
      <w:pPr>
        <w:pStyle w:val="af1"/>
        <w:rPr>
          <w:sz w:val="24"/>
          <w:szCs w:val="24"/>
          <w:lang w:val="uk-UA"/>
        </w:rPr>
      </w:pPr>
      <w:r w:rsidRPr="00D9322B">
        <w:rPr>
          <w:sz w:val="24"/>
          <w:szCs w:val="24"/>
          <w:lang w:val="uk-UA"/>
        </w:rPr>
        <w:t xml:space="preserve">та архітектури обласної державної </w:t>
      </w:r>
    </w:p>
    <w:p w14:paraId="3B105B62" w14:textId="6E6BEA22" w:rsidR="00D9322B" w:rsidRPr="00D9322B" w:rsidRDefault="00D9322B" w:rsidP="00D9322B">
      <w:pPr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D9322B">
        <w:rPr>
          <w:rFonts w:ascii="Times New Roman" w:hAnsi="Times New Roman"/>
          <w:sz w:val="24"/>
          <w:szCs w:val="24"/>
        </w:rPr>
        <w:t xml:space="preserve">адміністрації – головний архітектор області                </w:t>
      </w:r>
      <w:r w:rsidRPr="00D93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22B">
        <w:rPr>
          <w:rFonts w:ascii="Times New Roman" w:hAnsi="Times New Roman"/>
          <w:sz w:val="24"/>
          <w:szCs w:val="24"/>
        </w:rPr>
        <w:tab/>
      </w:r>
      <w:r w:rsidRPr="00D9322B">
        <w:rPr>
          <w:rFonts w:ascii="Times New Roman" w:hAnsi="Times New Roman"/>
          <w:sz w:val="24"/>
          <w:szCs w:val="24"/>
        </w:rPr>
        <w:tab/>
        <w:t>Г.ХОДІН</w:t>
      </w:r>
    </w:p>
    <w:sectPr w:rsidR="00D9322B" w:rsidRPr="00D9322B" w:rsidSect="00D9322B">
      <w:headerReference w:type="default" r:id="rId10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Борисевич" w:date="2021-12-14T15:16:00Z" w:initials="Б">
    <w:p w14:paraId="2F61AECC" w14:textId="77777777" w:rsidR="00620E72" w:rsidRDefault="00620E72">
      <w:pPr>
        <w:pStyle w:val="ad"/>
      </w:pPr>
      <w:r>
        <w:rPr>
          <w:rStyle w:val="ac"/>
        </w:rPr>
        <w:annotationRef/>
      </w:r>
    </w:p>
  </w:comment>
  <w:comment w:id="1" w:author="Борисевич" w:date="2021-12-14T15:16:00Z" w:initials="Б">
    <w:p w14:paraId="517B9F66" w14:textId="77777777" w:rsidR="00620E72" w:rsidRDefault="00620E72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61AECC" w15:done="0"/>
  <w15:commentEx w15:paraId="517B9F6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C163" w14:textId="77777777" w:rsidR="00931A20" w:rsidRDefault="00931A20" w:rsidP="00E120E6">
      <w:r>
        <w:separator/>
      </w:r>
    </w:p>
  </w:endnote>
  <w:endnote w:type="continuationSeparator" w:id="0">
    <w:p w14:paraId="08E9FF60" w14:textId="77777777" w:rsidR="00931A20" w:rsidRDefault="00931A20" w:rsidP="00E1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7A15" w14:textId="77777777" w:rsidR="00931A20" w:rsidRDefault="00931A20" w:rsidP="00E120E6">
      <w:r>
        <w:separator/>
      </w:r>
    </w:p>
  </w:footnote>
  <w:footnote w:type="continuationSeparator" w:id="0">
    <w:p w14:paraId="794625C2" w14:textId="77777777" w:rsidR="00931A20" w:rsidRDefault="00931A20" w:rsidP="00E1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254089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BE51BC5" w14:textId="183EA61C" w:rsidR="00620E72" w:rsidRPr="0015581C" w:rsidRDefault="00620E72">
        <w:pPr>
          <w:pStyle w:val="a6"/>
          <w:jc w:val="center"/>
          <w:rPr>
            <w:rFonts w:ascii="Times New Roman" w:hAnsi="Times New Roman"/>
          </w:rPr>
        </w:pPr>
        <w:r w:rsidRPr="00B4334F">
          <w:rPr>
            <w:rFonts w:ascii="Times New Roman" w:hAnsi="Times New Roman"/>
            <w:sz w:val="22"/>
            <w:szCs w:val="22"/>
          </w:rPr>
          <w:fldChar w:fldCharType="begin"/>
        </w:r>
        <w:r w:rsidRPr="00B4334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B4334F">
          <w:rPr>
            <w:rFonts w:ascii="Times New Roman" w:hAnsi="Times New Roman"/>
            <w:sz w:val="22"/>
            <w:szCs w:val="22"/>
          </w:rPr>
          <w:fldChar w:fldCharType="separate"/>
        </w:r>
        <w:r w:rsidR="000030C0" w:rsidRPr="000030C0">
          <w:rPr>
            <w:rFonts w:ascii="Times New Roman" w:hAnsi="Times New Roman"/>
            <w:noProof/>
            <w:sz w:val="22"/>
            <w:szCs w:val="22"/>
            <w:lang w:val="ru-RU"/>
          </w:rPr>
          <w:t>20</w:t>
        </w:r>
        <w:r w:rsidRPr="00B4334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F671454" w14:textId="77777777" w:rsidR="00620E72" w:rsidRDefault="00620E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5372"/>
    <w:multiLevelType w:val="hybridMultilevel"/>
    <w:tmpl w:val="A6F0E592"/>
    <w:lvl w:ilvl="0" w:tplc="299CBBF8">
      <w:start w:val="1"/>
      <w:numFmt w:val="decimal"/>
      <w:lvlText w:val="%1."/>
      <w:lvlJc w:val="left"/>
      <w:pPr>
        <w:ind w:left="3338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BA6"/>
    <w:multiLevelType w:val="hybridMultilevel"/>
    <w:tmpl w:val="13CA762C"/>
    <w:lvl w:ilvl="0" w:tplc="F2681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6422"/>
    <w:multiLevelType w:val="hybridMultilevel"/>
    <w:tmpl w:val="8F8C582C"/>
    <w:lvl w:ilvl="0" w:tplc="376A6B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орисевич">
    <w15:presenceInfo w15:providerId="None" w15:userId="Борис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7"/>
    <w:rsid w:val="000030C0"/>
    <w:rsid w:val="00006F4A"/>
    <w:rsid w:val="00016696"/>
    <w:rsid w:val="00017DA0"/>
    <w:rsid w:val="0002037A"/>
    <w:rsid w:val="000246F6"/>
    <w:rsid w:val="00030FE4"/>
    <w:rsid w:val="00032D3F"/>
    <w:rsid w:val="000433EA"/>
    <w:rsid w:val="00054C5F"/>
    <w:rsid w:val="00057981"/>
    <w:rsid w:val="00066B91"/>
    <w:rsid w:val="00072813"/>
    <w:rsid w:val="00076F3F"/>
    <w:rsid w:val="0008289B"/>
    <w:rsid w:val="00094833"/>
    <w:rsid w:val="000A75AA"/>
    <w:rsid w:val="000C56B5"/>
    <w:rsid w:val="000C748D"/>
    <w:rsid w:val="000D4F20"/>
    <w:rsid w:val="000D6CF2"/>
    <w:rsid w:val="000E690D"/>
    <w:rsid w:val="000E727F"/>
    <w:rsid w:val="000F008E"/>
    <w:rsid w:val="000F6CC2"/>
    <w:rsid w:val="00102C36"/>
    <w:rsid w:val="00103BD8"/>
    <w:rsid w:val="0010650C"/>
    <w:rsid w:val="00106A81"/>
    <w:rsid w:val="00107558"/>
    <w:rsid w:val="00111733"/>
    <w:rsid w:val="00111B5D"/>
    <w:rsid w:val="0011398F"/>
    <w:rsid w:val="00116C80"/>
    <w:rsid w:val="001215A5"/>
    <w:rsid w:val="001218DB"/>
    <w:rsid w:val="00125F5F"/>
    <w:rsid w:val="001309A7"/>
    <w:rsid w:val="00131717"/>
    <w:rsid w:val="00135D51"/>
    <w:rsid w:val="00146CE5"/>
    <w:rsid w:val="001509F4"/>
    <w:rsid w:val="00153D4F"/>
    <w:rsid w:val="0015581C"/>
    <w:rsid w:val="00156F26"/>
    <w:rsid w:val="00166CD2"/>
    <w:rsid w:val="00175432"/>
    <w:rsid w:val="0018299D"/>
    <w:rsid w:val="0018435C"/>
    <w:rsid w:val="0019287A"/>
    <w:rsid w:val="00193AB4"/>
    <w:rsid w:val="00193C2F"/>
    <w:rsid w:val="001A1F27"/>
    <w:rsid w:val="001A3D6C"/>
    <w:rsid w:val="001A5F42"/>
    <w:rsid w:val="001A67AE"/>
    <w:rsid w:val="001B4D16"/>
    <w:rsid w:val="001C1C11"/>
    <w:rsid w:val="001D76F7"/>
    <w:rsid w:val="001E366A"/>
    <w:rsid w:val="001E7C69"/>
    <w:rsid w:val="001F6ADA"/>
    <w:rsid w:val="002034B7"/>
    <w:rsid w:val="002155E6"/>
    <w:rsid w:val="00221876"/>
    <w:rsid w:val="0022603B"/>
    <w:rsid w:val="0023399F"/>
    <w:rsid w:val="002371E4"/>
    <w:rsid w:val="00243A90"/>
    <w:rsid w:val="00251E57"/>
    <w:rsid w:val="00252295"/>
    <w:rsid w:val="0026392B"/>
    <w:rsid w:val="002658A5"/>
    <w:rsid w:val="0027779A"/>
    <w:rsid w:val="00280F20"/>
    <w:rsid w:val="00285702"/>
    <w:rsid w:val="002919E7"/>
    <w:rsid w:val="00293D27"/>
    <w:rsid w:val="002A362A"/>
    <w:rsid w:val="002B0274"/>
    <w:rsid w:val="002B2B77"/>
    <w:rsid w:val="002C48E5"/>
    <w:rsid w:val="002D4F39"/>
    <w:rsid w:val="002D6E8C"/>
    <w:rsid w:val="002E4725"/>
    <w:rsid w:val="002E506A"/>
    <w:rsid w:val="002E6222"/>
    <w:rsid w:val="002F4C91"/>
    <w:rsid w:val="002F5F75"/>
    <w:rsid w:val="003019A2"/>
    <w:rsid w:val="00302018"/>
    <w:rsid w:val="00305D08"/>
    <w:rsid w:val="00306BF1"/>
    <w:rsid w:val="00311ABB"/>
    <w:rsid w:val="0031584B"/>
    <w:rsid w:val="003159B2"/>
    <w:rsid w:val="00325E38"/>
    <w:rsid w:val="00336874"/>
    <w:rsid w:val="003554CF"/>
    <w:rsid w:val="00361EBE"/>
    <w:rsid w:val="00362D0F"/>
    <w:rsid w:val="00363875"/>
    <w:rsid w:val="00363AEF"/>
    <w:rsid w:val="00364354"/>
    <w:rsid w:val="003659F4"/>
    <w:rsid w:val="0036706F"/>
    <w:rsid w:val="00376D89"/>
    <w:rsid w:val="00390AF9"/>
    <w:rsid w:val="00393750"/>
    <w:rsid w:val="00397C3A"/>
    <w:rsid w:val="00397F7F"/>
    <w:rsid w:val="003B2E65"/>
    <w:rsid w:val="003B416F"/>
    <w:rsid w:val="003C2CB3"/>
    <w:rsid w:val="003C3304"/>
    <w:rsid w:val="003D12E6"/>
    <w:rsid w:val="003D2A97"/>
    <w:rsid w:val="003E1344"/>
    <w:rsid w:val="003F762A"/>
    <w:rsid w:val="0040016F"/>
    <w:rsid w:val="00402445"/>
    <w:rsid w:val="00403705"/>
    <w:rsid w:val="00411BA7"/>
    <w:rsid w:val="00413E8E"/>
    <w:rsid w:val="0041617B"/>
    <w:rsid w:val="00422C28"/>
    <w:rsid w:val="00423333"/>
    <w:rsid w:val="004233C9"/>
    <w:rsid w:val="0042380D"/>
    <w:rsid w:val="0043194F"/>
    <w:rsid w:val="0043273A"/>
    <w:rsid w:val="00432FB8"/>
    <w:rsid w:val="00450E2F"/>
    <w:rsid w:val="00452AB4"/>
    <w:rsid w:val="00454AB5"/>
    <w:rsid w:val="00457D00"/>
    <w:rsid w:val="00466CCD"/>
    <w:rsid w:val="004702F4"/>
    <w:rsid w:val="00474B41"/>
    <w:rsid w:val="00476A62"/>
    <w:rsid w:val="00485E28"/>
    <w:rsid w:val="00486A11"/>
    <w:rsid w:val="0049212E"/>
    <w:rsid w:val="00494C03"/>
    <w:rsid w:val="004966E1"/>
    <w:rsid w:val="004A7F8C"/>
    <w:rsid w:val="004C0188"/>
    <w:rsid w:val="004F21A0"/>
    <w:rsid w:val="004F595F"/>
    <w:rsid w:val="00504C76"/>
    <w:rsid w:val="005109DD"/>
    <w:rsid w:val="005162E9"/>
    <w:rsid w:val="00522642"/>
    <w:rsid w:val="005304B7"/>
    <w:rsid w:val="00540CAD"/>
    <w:rsid w:val="00547F54"/>
    <w:rsid w:val="005526B6"/>
    <w:rsid w:val="00562260"/>
    <w:rsid w:val="005630C0"/>
    <w:rsid w:val="005737AE"/>
    <w:rsid w:val="0057742D"/>
    <w:rsid w:val="00586A06"/>
    <w:rsid w:val="005908FA"/>
    <w:rsid w:val="00593C74"/>
    <w:rsid w:val="00596875"/>
    <w:rsid w:val="005A331F"/>
    <w:rsid w:val="005C28E2"/>
    <w:rsid w:val="005C7796"/>
    <w:rsid w:val="005D129C"/>
    <w:rsid w:val="005D2B0B"/>
    <w:rsid w:val="005E56D8"/>
    <w:rsid w:val="005F1C9B"/>
    <w:rsid w:val="005F2796"/>
    <w:rsid w:val="005F603B"/>
    <w:rsid w:val="00602CBA"/>
    <w:rsid w:val="0060540E"/>
    <w:rsid w:val="00605693"/>
    <w:rsid w:val="006146E2"/>
    <w:rsid w:val="006168CF"/>
    <w:rsid w:val="00620E72"/>
    <w:rsid w:val="00625B78"/>
    <w:rsid w:val="00626136"/>
    <w:rsid w:val="0063573D"/>
    <w:rsid w:val="00645675"/>
    <w:rsid w:val="00650715"/>
    <w:rsid w:val="0065461C"/>
    <w:rsid w:val="006557B0"/>
    <w:rsid w:val="00662642"/>
    <w:rsid w:val="00663DA8"/>
    <w:rsid w:val="00670BA3"/>
    <w:rsid w:val="00685927"/>
    <w:rsid w:val="00685A7C"/>
    <w:rsid w:val="00693B39"/>
    <w:rsid w:val="0069502E"/>
    <w:rsid w:val="006979F9"/>
    <w:rsid w:val="006A162D"/>
    <w:rsid w:val="006A580F"/>
    <w:rsid w:val="006B67EC"/>
    <w:rsid w:val="006C0359"/>
    <w:rsid w:val="006C1A2D"/>
    <w:rsid w:val="00711406"/>
    <w:rsid w:val="00711432"/>
    <w:rsid w:val="007224F2"/>
    <w:rsid w:val="007302D8"/>
    <w:rsid w:val="00734CDA"/>
    <w:rsid w:val="00737BA8"/>
    <w:rsid w:val="00742EE0"/>
    <w:rsid w:val="007503CF"/>
    <w:rsid w:val="00772A14"/>
    <w:rsid w:val="00775B8E"/>
    <w:rsid w:val="0078191E"/>
    <w:rsid w:val="0078483A"/>
    <w:rsid w:val="00784F0B"/>
    <w:rsid w:val="00787F67"/>
    <w:rsid w:val="00793C60"/>
    <w:rsid w:val="0079558B"/>
    <w:rsid w:val="007A698E"/>
    <w:rsid w:val="007B5C2B"/>
    <w:rsid w:val="007B7825"/>
    <w:rsid w:val="007D2839"/>
    <w:rsid w:val="007D3040"/>
    <w:rsid w:val="007D51AE"/>
    <w:rsid w:val="007E0220"/>
    <w:rsid w:val="007E0883"/>
    <w:rsid w:val="007F0424"/>
    <w:rsid w:val="007F16AF"/>
    <w:rsid w:val="007F1ED4"/>
    <w:rsid w:val="007F6C82"/>
    <w:rsid w:val="00801F2A"/>
    <w:rsid w:val="008144F1"/>
    <w:rsid w:val="008231AE"/>
    <w:rsid w:val="00831342"/>
    <w:rsid w:val="0084027D"/>
    <w:rsid w:val="00842FA9"/>
    <w:rsid w:val="0084522B"/>
    <w:rsid w:val="008803CD"/>
    <w:rsid w:val="008A1871"/>
    <w:rsid w:val="008A1B01"/>
    <w:rsid w:val="008A42F2"/>
    <w:rsid w:val="008C5154"/>
    <w:rsid w:val="008D05D4"/>
    <w:rsid w:val="008D3E3A"/>
    <w:rsid w:val="008D580B"/>
    <w:rsid w:val="008D74D1"/>
    <w:rsid w:val="008E35ED"/>
    <w:rsid w:val="008E64DD"/>
    <w:rsid w:val="0090073A"/>
    <w:rsid w:val="009017CE"/>
    <w:rsid w:val="0090268C"/>
    <w:rsid w:val="00911188"/>
    <w:rsid w:val="00922631"/>
    <w:rsid w:val="00931A20"/>
    <w:rsid w:val="00940438"/>
    <w:rsid w:val="00956145"/>
    <w:rsid w:val="0096352E"/>
    <w:rsid w:val="0097113A"/>
    <w:rsid w:val="0097550E"/>
    <w:rsid w:val="00975802"/>
    <w:rsid w:val="00975817"/>
    <w:rsid w:val="00976D40"/>
    <w:rsid w:val="009779EF"/>
    <w:rsid w:val="00984127"/>
    <w:rsid w:val="00984FDD"/>
    <w:rsid w:val="009916B6"/>
    <w:rsid w:val="00991F5E"/>
    <w:rsid w:val="00993B4B"/>
    <w:rsid w:val="00994344"/>
    <w:rsid w:val="009B2742"/>
    <w:rsid w:val="009B5E54"/>
    <w:rsid w:val="009C4A03"/>
    <w:rsid w:val="009E72A5"/>
    <w:rsid w:val="009F31ED"/>
    <w:rsid w:val="00A0286E"/>
    <w:rsid w:val="00A04EEB"/>
    <w:rsid w:val="00A075F9"/>
    <w:rsid w:val="00A077EA"/>
    <w:rsid w:val="00A16CEF"/>
    <w:rsid w:val="00A2258E"/>
    <w:rsid w:val="00A261C6"/>
    <w:rsid w:val="00A263C6"/>
    <w:rsid w:val="00A33DB4"/>
    <w:rsid w:val="00A345D8"/>
    <w:rsid w:val="00A62B1C"/>
    <w:rsid w:val="00A67CC4"/>
    <w:rsid w:val="00A67CCD"/>
    <w:rsid w:val="00A72862"/>
    <w:rsid w:val="00A73247"/>
    <w:rsid w:val="00A93CC6"/>
    <w:rsid w:val="00A97FA0"/>
    <w:rsid w:val="00AA73EC"/>
    <w:rsid w:val="00AB19AD"/>
    <w:rsid w:val="00AB1E58"/>
    <w:rsid w:val="00AB457F"/>
    <w:rsid w:val="00AD5B73"/>
    <w:rsid w:val="00AE5D4B"/>
    <w:rsid w:val="00AE6EDA"/>
    <w:rsid w:val="00B00359"/>
    <w:rsid w:val="00B023AF"/>
    <w:rsid w:val="00B04F37"/>
    <w:rsid w:val="00B239A8"/>
    <w:rsid w:val="00B27815"/>
    <w:rsid w:val="00B4202F"/>
    <w:rsid w:val="00B4334F"/>
    <w:rsid w:val="00B45F65"/>
    <w:rsid w:val="00B521C7"/>
    <w:rsid w:val="00B52C66"/>
    <w:rsid w:val="00B53B39"/>
    <w:rsid w:val="00B65045"/>
    <w:rsid w:val="00B707AE"/>
    <w:rsid w:val="00B70C3C"/>
    <w:rsid w:val="00B75C66"/>
    <w:rsid w:val="00B7634B"/>
    <w:rsid w:val="00B87E7A"/>
    <w:rsid w:val="00BA15BF"/>
    <w:rsid w:val="00BA2244"/>
    <w:rsid w:val="00BA6C86"/>
    <w:rsid w:val="00BB2026"/>
    <w:rsid w:val="00BB5FF0"/>
    <w:rsid w:val="00BB74D0"/>
    <w:rsid w:val="00BC13F3"/>
    <w:rsid w:val="00BC1F55"/>
    <w:rsid w:val="00BC37B6"/>
    <w:rsid w:val="00BC47C1"/>
    <w:rsid w:val="00BC5EC8"/>
    <w:rsid w:val="00BC68C5"/>
    <w:rsid w:val="00BD11CE"/>
    <w:rsid w:val="00BD1230"/>
    <w:rsid w:val="00BD1318"/>
    <w:rsid w:val="00BD2383"/>
    <w:rsid w:val="00BE223C"/>
    <w:rsid w:val="00BE2FA9"/>
    <w:rsid w:val="00BE51A7"/>
    <w:rsid w:val="00BE780F"/>
    <w:rsid w:val="00BF2CF1"/>
    <w:rsid w:val="00BF3768"/>
    <w:rsid w:val="00C01332"/>
    <w:rsid w:val="00C12C68"/>
    <w:rsid w:val="00C22ADD"/>
    <w:rsid w:val="00C27EB4"/>
    <w:rsid w:val="00C40A7A"/>
    <w:rsid w:val="00C41720"/>
    <w:rsid w:val="00C522E1"/>
    <w:rsid w:val="00C60A8D"/>
    <w:rsid w:val="00C7776A"/>
    <w:rsid w:val="00C805A5"/>
    <w:rsid w:val="00C81E3C"/>
    <w:rsid w:val="00C86FF6"/>
    <w:rsid w:val="00C9582D"/>
    <w:rsid w:val="00CA0533"/>
    <w:rsid w:val="00CB1C44"/>
    <w:rsid w:val="00CB3AC8"/>
    <w:rsid w:val="00CB5BF3"/>
    <w:rsid w:val="00CB77F0"/>
    <w:rsid w:val="00CC03BC"/>
    <w:rsid w:val="00CC594B"/>
    <w:rsid w:val="00CD4B67"/>
    <w:rsid w:val="00CE171A"/>
    <w:rsid w:val="00CE4990"/>
    <w:rsid w:val="00CF3936"/>
    <w:rsid w:val="00CF6474"/>
    <w:rsid w:val="00D02093"/>
    <w:rsid w:val="00D043E3"/>
    <w:rsid w:val="00D05A15"/>
    <w:rsid w:val="00D54384"/>
    <w:rsid w:val="00D56411"/>
    <w:rsid w:val="00D65A1B"/>
    <w:rsid w:val="00D668E9"/>
    <w:rsid w:val="00D6788F"/>
    <w:rsid w:val="00D70FB3"/>
    <w:rsid w:val="00D771B9"/>
    <w:rsid w:val="00D80BA1"/>
    <w:rsid w:val="00D850D3"/>
    <w:rsid w:val="00D862C1"/>
    <w:rsid w:val="00D929A5"/>
    <w:rsid w:val="00D9322B"/>
    <w:rsid w:val="00D97886"/>
    <w:rsid w:val="00DA65B1"/>
    <w:rsid w:val="00DA7231"/>
    <w:rsid w:val="00DB567C"/>
    <w:rsid w:val="00DB5FB7"/>
    <w:rsid w:val="00DD3705"/>
    <w:rsid w:val="00DD43DC"/>
    <w:rsid w:val="00DE742D"/>
    <w:rsid w:val="00DF2A9B"/>
    <w:rsid w:val="00DF4587"/>
    <w:rsid w:val="00DF5E6A"/>
    <w:rsid w:val="00E10611"/>
    <w:rsid w:val="00E120E6"/>
    <w:rsid w:val="00E14DF4"/>
    <w:rsid w:val="00E22BD0"/>
    <w:rsid w:val="00E350D7"/>
    <w:rsid w:val="00E36925"/>
    <w:rsid w:val="00E4363D"/>
    <w:rsid w:val="00E6049C"/>
    <w:rsid w:val="00E62F63"/>
    <w:rsid w:val="00E67177"/>
    <w:rsid w:val="00E679C2"/>
    <w:rsid w:val="00E71BCB"/>
    <w:rsid w:val="00E83976"/>
    <w:rsid w:val="00E87D8A"/>
    <w:rsid w:val="00E91164"/>
    <w:rsid w:val="00E92897"/>
    <w:rsid w:val="00E94130"/>
    <w:rsid w:val="00E94523"/>
    <w:rsid w:val="00E9703F"/>
    <w:rsid w:val="00EA3031"/>
    <w:rsid w:val="00EB4D30"/>
    <w:rsid w:val="00EC0AD5"/>
    <w:rsid w:val="00EC2E39"/>
    <w:rsid w:val="00EC71EC"/>
    <w:rsid w:val="00ED2722"/>
    <w:rsid w:val="00ED29FE"/>
    <w:rsid w:val="00ED31E4"/>
    <w:rsid w:val="00ED5A26"/>
    <w:rsid w:val="00EE288A"/>
    <w:rsid w:val="00EE72EC"/>
    <w:rsid w:val="00EE7FB7"/>
    <w:rsid w:val="00EF21DB"/>
    <w:rsid w:val="00EF4A12"/>
    <w:rsid w:val="00EF73D3"/>
    <w:rsid w:val="00F042CA"/>
    <w:rsid w:val="00F11F97"/>
    <w:rsid w:val="00F15DAE"/>
    <w:rsid w:val="00F231D3"/>
    <w:rsid w:val="00F367FE"/>
    <w:rsid w:val="00F51485"/>
    <w:rsid w:val="00F54088"/>
    <w:rsid w:val="00F56553"/>
    <w:rsid w:val="00F819FA"/>
    <w:rsid w:val="00F93484"/>
    <w:rsid w:val="00F93A6F"/>
    <w:rsid w:val="00F93AD0"/>
    <w:rsid w:val="00F942FF"/>
    <w:rsid w:val="00FA7DF1"/>
    <w:rsid w:val="00FE62E6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68883"/>
  <w15:chartTrackingRefBased/>
  <w15:docId w15:val="{14CDAB27-9F46-4FF2-A2EF-E9265104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6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C2E39"/>
    <w:pPr>
      <w:keepNext/>
      <w:keepLines/>
      <w:spacing w:after="240"/>
      <w:ind w:left="3969"/>
      <w:jc w:val="center"/>
    </w:pPr>
  </w:style>
  <w:style w:type="table" w:styleId="a3">
    <w:name w:val="Table Grid"/>
    <w:basedOn w:val="a1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5ED"/>
    <w:pPr>
      <w:ind w:left="720"/>
      <w:contextualSpacing/>
    </w:pPr>
  </w:style>
  <w:style w:type="paragraph" w:customStyle="1" w:styleId="a5">
    <w:name w:val="Нормальний текст"/>
    <w:basedOn w:val="a"/>
    <w:rsid w:val="008E35ED"/>
    <w:pPr>
      <w:spacing w:before="120"/>
      <w:ind w:firstLine="567"/>
    </w:pPr>
  </w:style>
  <w:style w:type="paragraph" w:styleId="a6">
    <w:name w:val="header"/>
    <w:basedOn w:val="a"/>
    <w:link w:val="a7"/>
    <w:uiPriority w:val="99"/>
    <w:unhideWhenUsed/>
    <w:rsid w:val="00E120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0E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E120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0E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EE7FB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E7FB7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c">
    <w:name w:val="annotation reference"/>
    <w:basedOn w:val="a0"/>
    <w:uiPriority w:val="99"/>
    <w:semiHidden/>
    <w:unhideWhenUsed/>
    <w:rsid w:val="000C56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56B5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56B5"/>
    <w:rPr>
      <w:rFonts w:ascii="Antiqua" w:eastAsia="Times New Roman" w:hAnsi="Antiqua" w:cs="Times New Roman"/>
      <w:sz w:val="20"/>
      <w:szCs w:val="20"/>
      <w:lang w:val="uk-UA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6B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56B5"/>
    <w:rPr>
      <w:rFonts w:ascii="Antiqua" w:eastAsia="Times New Roman" w:hAnsi="Antiqua" w:cs="Times New Roman"/>
      <w:b/>
      <w:bCs/>
      <w:sz w:val="20"/>
      <w:szCs w:val="20"/>
      <w:lang w:val="uk-UA" w:eastAsia="ru-RU"/>
    </w:rPr>
  </w:style>
  <w:style w:type="paragraph" w:styleId="af1">
    <w:name w:val="Body Text Indent"/>
    <w:basedOn w:val="a"/>
    <w:link w:val="af2"/>
    <w:semiHidden/>
    <w:unhideWhenUsed/>
    <w:rsid w:val="00D9322B"/>
    <w:rPr>
      <w:rFonts w:ascii="Times New Roman" w:hAnsi="Times New Roman"/>
      <w:sz w:val="28"/>
      <w:lang w:val="ru-RU"/>
    </w:rPr>
  </w:style>
  <w:style w:type="character" w:customStyle="1" w:styleId="af2">
    <w:name w:val="Основной текст с отступом Знак"/>
    <w:basedOn w:val="a0"/>
    <w:link w:val="af1"/>
    <w:semiHidden/>
    <w:rsid w:val="00D932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3153-CAC1-4A44-9006-C117F57E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53</cp:revision>
  <cp:lastPrinted>2021-11-19T13:21:00Z</cp:lastPrinted>
  <dcterms:created xsi:type="dcterms:W3CDTF">2021-12-10T06:29:00Z</dcterms:created>
  <dcterms:modified xsi:type="dcterms:W3CDTF">2022-01-06T07:13:00Z</dcterms:modified>
</cp:coreProperties>
</file>