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DB" w:rsidRDefault="00D315DB" w:rsidP="00EC52C5">
      <w:pPr>
        <w:ind w:firstLine="708"/>
        <w:jc w:val="center"/>
      </w:pPr>
      <w:r>
        <w:rPr>
          <w:b/>
          <w:sz w:val="26"/>
        </w:rPr>
        <w:t>ЗВІТ про проведену роботу Департаменту житлово-комунального господарства та паливно-енергетичного комплексу Херсонської обласної державної адміністрації</w:t>
      </w:r>
      <w:r>
        <w:rPr>
          <w:sz w:val="26"/>
        </w:rPr>
        <w:t xml:space="preserve"> (далі – Департамент) за </w:t>
      </w:r>
      <w:r>
        <w:rPr>
          <w:b/>
          <w:sz w:val="26"/>
        </w:rPr>
        <w:t>жовтень 2019 року</w:t>
      </w:r>
    </w:p>
    <w:p w:rsidR="00D315DB" w:rsidRDefault="00D315DB" w:rsidP="00EC52C5">
      <w:pPr>
        <w:ind w:firstLine="656"/>
        <w:jc w:val="both"/>
        <w:rPr>
          <w:color w:val="FF0000"/>
          <w:sz w:val="26"/>
          <w:lang w:eastAsia="en-US"/>
        </w:rPr>
      </w:pPr>
    </w:p>
    <w:p w:rsidR="00D315DB" w:rsidRDefault="00D315DB" w:rsidP="00EC52C5">
      <w:pPr>
        <w:ind w:firstLine="656"/>
        <w:jc w:val="both"/>
      </w:pPr>
      <w:r>
        <w:rPr>
          <w:sz w:val="26"/>
        </w:rPr>
        <w:t xml:space="preserve">Департамент здійснює свої повноваження відповідно до завдань, визначених Положенням про Департамент та іншими нормативними документами. </w:t>
      </w:r>
      <w:r>
        <w:rPr>
          <w:sz w:val="26"/>
          <w:lang w:eastAsia="en-US"/>
        </w:rPr>
        <w:t xml:space="preserve">Завдяки заходам, що постійно вживаються Департаментом, </w:t>
      </w:r>
      <w:r>
        <w:rPr>
          <w:sz w:val="26"/>
        </w:rPr>
        <w:t>йде успішне сприяння у вирішенні існуючих і виникаючих питань у сфері житлово-комунального господарства.</w:t>
      </w:r>
    </w:p>
    <w:p w:rsidR="00D315DB" w:rsidRPr="008C01D5" w:rsidRDefault="00D315DB" w:rsidP="00EC52C5">
      <w:pPr>
        <w:ind w:firstLine="656"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lang w:eastAsia="en-US"/>
        </w:rPr>
        <w:t xml:space="preserve">Протягом жовтня </w:t>
      </w:r>
      <w:r w:rsidRPr="00593826">
        <w:rPr>
          <w:color w:val="000000"/>
          <w:sz w:val="26"/>
          <w:szCs w:val="26"/>
          <w:lang w:eastAsia="en-US"/>
        </w:rPr>
        <w:t xml:space="preserve">місяця підвищився рівень оплати населенням житлово-комунальних послуг на </w:t>
      </w:r>
      <w:r>
        <w:rPr>
          <w:color w:val="000000"/>
          <w:sz w:val="26"/>
          <w:szCs w:val="26"/>
          <w:lang w:eastAsia="en-US"/>
        </w:rPr>
        <w:t>1</w:t>
      </w:r>
      <w:r w:rsidRPr="00593826">
        <w:rPr>
          <w:color w:val="000000"/>
          <w:sz w:val="26"/>
          <w:szCs w:val="26"/>
          <w:lang w:eastAsia="en-US"/>
        </w:rPr>
        <w:t>,</w:t>
      </w:r>
      <w:r>
        <w:rPr>
          <w:color w:val="000000"/>
          <w:sz w:val="26"/>
          <w:szCs w:val="26"/>
          <w:lang w:eastAsia="en-US"/>
        </w:rPr>
        <w:t>6 % та становить 103</w:t>
      </w:r>
      <w:r w:rsidRPr="00593826">
        <w:rPr>
          <w:color w:val="000000"/>
          <w:sz w:val="26"/>
          <w:szCs w:val="26"/>
          <w:lang w:eastAsia="en-US"/>
        </w:rPr>
        <w:t>,</w:t>
      </w:r>
      <w:r>
        <w:rPr>
          <w:color w:val="000000"/>
          <w:sz w:val="26"/>
          <w:szCs w:val="26"/>
          <w:lang w:eastAsia="en-US"/>
        </w:rPr>
        <w:t>5</w:t>
      </w:r>
      <w:r w:rsidRPr="00593826">
        <w:rPr>
          <w:color w:val="000000"/>
          <w:sz w:val="26"/>
          <w:szCs w:val="26"/>
          <w:lang w:eastAsia="en-US"/>
        </w:rPr>
        <w:t>%.</w:t>
      </w:r>
      <w:r>
        <w:rPr>
          <w:color w:val="000000"/>
          <w:sz w:val="26"/>
          <w:szCs w:val="26"/>
          <w:lang w:eastAsia="en-US"/>
        </w:rPr>
        <w:t xml:space="preserve"> </w:t>
      </w:r>
    </w:p>
    <w:p w:rsidR="00D315DB" w:rsidRPr="008C01D5" w:rsidRDefault="00D315DB" w:rsidP="008C01D5">
      <w:pPr>
        <w:ind w:firstLine="708"/>
        <w:jc w:val="both"/>
        <w:rPr>
          <w:color w:val="FF0000"/>
          <w:sz w:val="26"/>
          <w:szCs w:val="26"/>
          <w:lang w:eastAsia="en-US"/>
        </w:rPr>
      </w:pPr>
      <w:r w:rsidRPr="008C01D5">
        <w:rPr>
          <w:sz w:val="26"/>
          <w:szCs w:val="26"/>
          <w:lang w:eastAsia="en-US"/>
        </w:rPr>
        <w:t>Збільшилася кількість виданих банківськими установами «теплих» кредитів населенню на заходи з енергозбереження. Так, за даними проведеного моніторингу, протягом 2019 року кількість виданих «теплих» кредитів по області становить – 548 на суму 42,6 млн</w:t>
      </w:r>
      <w:r>
        <w:rPr>
          <w:sz w:val="26"/>
          <w:szCs w:val="26"/>
          <w:lang w:eastAsia="en-US"/>
        </w:rPr>
        <w:t xml:space="preserve"> </w:t>
      </w:r>
      <w:r w:rsidRPr="008C01D5">
        <w:rPr>
          <w:sz w:val="26"/>
          <w:szCs w:val="26"/>
          <w:lang w:eastAsia="en-US"/>
        </w:rPr>
        <w:t>грн, з яких 148 кредитів</w:t>
      </w:r>
      <w:r>
        <w:rPr>
          <w:sz w:val="26"/>
          <w:szCs w:val="26"/>
          <w:lang w:eastAsia="en-US"/>
        </w:rPr>
        <w:t xml:space="preserve"> отримали ОСББ на суму 28,8 млн </w:t>
      </w:r>
      <w:r w:rsidRPr="008C01D5">
        <w:rPr>
          <w:sz w:val="26"/>
          <w:szCs w:val="26"/>
          <w:lang w:eastAsia="en-US"/>
        </w:rPr>
        <w:t>грн., що на 39 кредитів більше ніж попереднього місяця.</w:t>
      </w:r>
    </w:p>
    <w:p w:rsidR="00D315DB" w:rsidRPr="008C01D5" w:rsidRDefault="00D315DB" w:rsidP="008C01D5">
      <w:pPr>
        <w:spacing w:line="228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Також завдяки </w:t>
      </w:r>
      <w:r w:rsidRPr="00593826">
        <w:rPr>
          <w:color w:val="000000"/>
          <w:sz w:val="26"/>
          <w:szCs w:val="26"/>
          <w:lang w:eastAsia="en-US"/>
        </w:rPr>
        <w:t>заходам, що постійно вживаються Департаментом,</w:t>
      </w:r>
      <w:r>
        <w:rPr>
          <w:color w:val="000000"/>
          <w:sz w:val="26"/>
          <w:szCs w:val="26"/>
          <w:lang w:eastAsia="en-US"/>
        </w:rPr>
        <w:t xml:space="preserve"> </w:t>
      </w:r>
      <w:r w:rsidRPr="008C01D5">
        <w:rPr>
          <w:sz w:val="26"/>
          <w:szCs w:val="26"/>
          <w:lang w:eastAsia="en-US"/>
        </w:rPr>
        <w:t xml:space="preserve">загальний борг теплопостачальних підприємств області за спожитий природний газ з </w:t>
      </w:r>
      <w:r>
        <w:rPr>
          <w:sz w:val="26"/>
          <w:szCs w:val="26"/>
          <w:lang w:eastAsia="en-US"/>
        </w:rPr>
        <w:t>урахуванням боргів минулих років на 9,7 млн грн менший</w:t>
      </w:r>
      <w:r w:rsidRPr="008C01D5">
        <w:rPr>
          <w:sz w:val="26"/>
          <w:szCs w:val="26"/>
          <w:lang w:eastAsia="en-US"/>
        </w:rPr>
        <w:t xml:space="preserve"> ніж у відповідному періоді минулого місяця</w:t>
      </w:r>
      <w:r>
        <w:rPr>
          <w:sz w:val="26"/>
          <w:szCs w:val="26"/>
          <w:lang w:eastAsia="en-US"/>
        </w:rPr>
        <w:t xml:space="preserve"> та становить </w:t>
      </w:r>
      <w:r w:rsidRPr="008C01D5">
        <w:rPr>
          <w:sz w:val="26"/>
          <w:szCs w:val="26"/>
          <w:lang w:eastAsia="en-US"/>
        </w:rPr>
        <w:t>345 млн грн</w:t>
      </w:r>
      <w:r>
        <w:rPr>
          <w:sz w:val="26"/>
          <w:szCs w:val="26"/>
          <w:lang w:eastAsia="en-US"/>
        </w:rPr>
        <w:t>.</w:t>
      </w:r>
    </w:p>
    <w:p w:rsidR="00D315DB" w:rsidRPr="00F80CB1" w:rsidRDefault="00D315DB" w:rsidP="008C01D5">
      <w:pPr>
        <w:spacing w:line="228" w:lineRule="auto"/>
        <w:ind w:firstLine="567"/>
        <w:jc w:val="both"/>
        <w:rPr>
          <w:sz w:val="26"/>
          <w:szCs w:val="26"/>
          <w:lang w:eastAsia="en-US"/>
        </w:rPr>
      </w:pPr>
      <w:r w:rsidRPr="00F80CB1">
        <w:rPr>
          <w:sz w:val="26"/>
          <w:szCs w:val="26"/>
          <w:lang w:eastAsia="en-US"/>
        </w:rPr>
        <w:t>З метою вирішення актуальних питань діяльності теплопостачальних підприємств та проблемних питань області були підготовані та направлені ініціативні листи центральним органам виконавчої влади за підписом голови обласної державної адміністрації, а саме:</w:t>
      </w:r>
    </w:p>
    <w:p w:rsidR="00D315DB" w:rsidRPr="00F80CB1" w:rsidRDefault="00D315DB" w:rsidP="008C01D5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33" w:lineRule="auto"/>
        <w:ind w:left="0" w:firstLine="709"/>
        <w:jc w:val="both"/>
        <w:rPr>
          <w:sz w:val="26"/>
          <w:szCs w:val="26"/>
        </w:rPr>
      </w:pPr>
      <w:r w:rsidRPr="00F80CB1">
        <w:rPr>
          <w:sz w:val="26"/>
          <w:szCs w:val="26"/>
        </w:rPr>
        <w:t>Прем’єр-міністру України О.ГОНЧАРУКУ, Голові правління НАК «Нафтогаз України» А.КОБОЛЄВУ, Міністру енергетики та захисту довкілля України О.ОРЖЕЛЮ, щодо сприяння у вирішенні питання погашення заборгованості АТ «Херсонська ТЕЦ» перед АТ «Херсонгаз» за розподіл природного газу, що утворилася протягом попереднього опалювального сезону та становить 19,8 млн грн;</w:t>
      </w:r>
    </w:p>
    <w:p w:rsidR="00D315DB" w:rsidRPr="00F80CB1" w:rsidRDefault="00D315DB" w:rsidP="008C01D5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33" w:lineRule="auto"/>
        <w:ind w:left="0" w:firstLine="709"/>
        <w:jc w:val="both"/>
        <w:rPr>
          <w:sz w:val="26"/>
          <w:szCs w:val="26"/>
        </w:rPr>
      </w:pPr>
      <w:r w:rsidRPr="00F80CB1">
        <w:rPr>
          <w:sz w:val="26"/>
          <w:szCs w:val="26"/>
        </w:rPr>
        <w:t xml:space="preserve">Прем’єр-міністру України О.ГОНЧАРУКУ щодо сприяння у вирішенні питання про визнання такої, що втратила чинність, постанови Кабінету Міністрів України від 26 червня 2019 року № 560 «Деякі питання захисту прав споживачів житлово-комунальних послуг». </w:t>
      </w:r>
    </w:p>
    <w:p w:rsidR="00D315DB" w:rsidRPr="00000C1E" w:rsidRDefault="00D315DB" w:rsidP="008C01D5">
      <w:pPr>
        <w:ind w:firstLine="709"/>
        <w:jc w:val="both"/>
        <w:rPr>
          <w:sz w:val="26"/>
          <w:szCs w:val="26"/>
          <w:lang w:eastAsia="en-US"/>
        </w:rPr>
      </w:pPr>
      <w:r w:rsidRPr="00000C1E">
        <w:rPr>
          <w:sz w:val="26"/>
          <w:szCs w:val="26"/>
          <w:lang w:eastAsia="en-US"/>
        </w:rPr>
        <w:t xml:space="preserve">У зв’язку із завершенням підготовки господарського комплексу області до роботи в осінньо-зимовий період 2019/20 року, </w:t>
      </w:r>
      <w:r w:rsidRPr="007A453F">
        <w:rPr>
          <w:rFonts w:eastAsia="Arial Unicode MS"/>
          <w:color w:val="000000"/>
          <w:sz w:val="26"/>
          <w:szCs w:val="26"/>
          <w:lang w:eastAsia="en-US"/>
        </w:rPr>
        <w:t xml:space="preserve">Департаментом був підготований проект розпорядження </w:t>
      </w:r>
      <w:r w:rsidRPr="00000C1E">
        <w:rPr>
          <w:sz w:val="26"/>
          <w:szCs w:val="26"/>
          <w:lang w:eastAsia="en-US"/>
        </w:rPr>
        <w:t xml:space="preserve">голови обласної державної адміністрації від 08 жовтня </w:t>
      </w:r>
      <w:r>
        <w:rPr>
          <w:sz w:val="26"/>
          <w:szCs w:val="26"/>
          <w:lang w:eastAsia="en-US"/>
        </w:rPr>
        <w:t xml:space="preserve">                  </w:t>
      </w:r>
      <w:r w:rsidRPr="00000C1E">
        <w:rPr>
          <w:sz w:val="26"/>
          <w:szCs w:val="26"/>
          <w:lang w:eastAsia="en-US"/>
        </w:rPr>
        <w:t>2019 року № 676 «Про початок в області опалювального періоду 2019/20 року».</w:t>
      </w:r>
    </w:p>
    <w:p w:rsidR="00D315DB" w:rsidRPr="00000C1E" w:rsidRDefault="00D315DB" w:rsidP="00000C1E">
      <w:pPr>
        <w:ind w:firstLine="709"/>
        <w:jc w:val="both"/>
        <w:rPr>
          <w:sz w:val="26"/>
          <w:szCs w:val="26"/>
          <w:lang w:eastAsia="en-US"/>
        </w:rPr>
      </w:pPr>
      <w:r w:rsidRPr="00000C1E">
        <w:rPr>
          <w:sz w:val="26"/>
          <w:szCs w:val="26"/>
          <w:lang w:eastAsia="en-US"/>
        </w:rPr>
        <w:t>Станом на 15 жов</w:t>
      </w:r>
      <w:r>
        <w:rPr>
          <w:sz w:val="26"/>
          <w:szCs w:val="26"/>
          <w:lang w:eastAsia="en-US"/>
        </w:rPr>
        <w:t>тня підготовлено</w:t>
      </w:r>
      <w:r w:rsidRPr="00000C1E">
        <w:rPr>
          <w:sz w:val="26"/>
          <w:szCs w:val="26"/>
          <w:lang w:eastAsia="en-US"/>
        </w:rPr>
        <w:t>:</w:t>
      </w:r>
    </w:p>
    <w:p w:rsidR="00D315DB" w:rsidRPr="00000C1E" w:rsidRDefault="00D315DB" w:rsidP="00000C1E">
      <w:pPr>
        <w:ind w:firstLine="709"/>
        <w:jc w:val="both"/>
        <w:rPr>
          <w:sz w:val="26"/>
          <w:szCs w:val="26"/>
          <w:lang w:eastAsia="en-US"/>
        </w:rPr>
      </w:pPr>
      <w:r w:rsidRPr="00000C1E">
        <w:rPr>
          <w:sz w:val="26"/>
          <w:szCs w:val="26"/>
          <w:lang w:eastAsia="en-US"/>
        </w:rPr>
        <w:t xml:space="preserve">- 74,8 км водопровідних та 5,3 км каналізаційних мереж, що становить 100% від </w:t>
      </w:r>
      <w:r>
        <w:rPr>
          <w:sz w:val="26"/>
          <w:szCs w:val="26"/>
          <w:lang w:eastAsia="en-US"/>
        </w:rPr>
        <w:t>запланованих</w:t>
      </w:r>
      <w:r w:rsidRPr="00000C1E">
        <w:rPr>
          <w:sz w:val="26"/>
          <w:szCs w:val="26"/>
          <w:lang w:eastAsia="en-US"/>
        </w:rPr>
        <w:t xml:space="preserve"> та відповідає вимогам Мінрегіону України;</w:t>
      </w:r>
    </w:p>
    <w:p w:rsidR="00D315DB" w:rsidRPr="00000C1E" w:rsidRDefault="00D315DB" w:rsidP="00000C1E">
      <w:pPr>
        <w:ind w:firstLine="709"/>
        <w:jc w:val="both"/>
        <w:rPr>
          <w:sz w:val="26"/>
          <w:szCs w:val="26"/>
          <w:lang w:eastAsia="en-US"/>
        </w:rPr>
      </w:pPr>
      <w:r w:rsidRPr="00000C1E">
        <w:rPr>
          <w:sz w:val="26"/>
          <w:szCs w:val="26"/>
          <w:lang w:eastAsia="en-US"/>
        </w:rPr>
        <w:t>- 17 о</w:t>
      </w:r>
      <w:r>
        <w:rPr>
          <w:sz w:val="26"/>
          <w:szCs w:val="26"/>
          <w:lang w:eastAsia="en-US"/>
        </w:rPr>
        <w:t>д водопровідно-насосних станцій -</w:t>
      </w:r>
      <w:r w:rsidRPr="00000C1E">
        <w:rPr>
          <w:sz w:val="26"/>
          <w:szCs w:val="26"/>
          <w:lang w:eastAsia="en-US"/>
        </w:rPr>
        <w:t xml:space="preserve"> 100% від плану;</w:t>
      </w:r>
    </w:p>
    <w:p w:rsidR="00D315DB" w:rsidRPr="00000C1E" w:rsidRDefault="00D315DB" w:rsidP="00000C1E">
      <w:pPr>
        <w:ind w:firstLine="709"/>
        <w:jc w:val="both"/>
        <w:rPr>
          <w:sz w:val="26"/>
          <w:szCs w:val="26"/>
          <w:lang w:eastAsia="en-US"/>
        </w:rPr>
      </w:pPr>
      <w:r w:rsidRPr="00000C1E">
        <w:rPr>
          <w:sz w:val="26"/>
          <w:szCs w:val="26"/>
          <w:lang w:eastAsia="en-US"/>
        </w:rPr>
        <w:t>- 1</w:t>
      </w:r>
      <w:r>
        <w:rPr>
          <w:sz w:val="26"/>
          <w:szCs w:val="26"/>
          <w:lang w:eastAsia="en-US"/>
        </w:rPr>
        <w:t xml:space="preserve"> </w:t>
      </w:r>
      <w:r w:rsidRPr="00000C1E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>20 од артезіанських свердловин -</w:t>
      </w:r>
      <w:r w:rsidRPr="00000C1E">
        <w:rPr>
          <w:sz w:val="26"/>
          <w:szCs w:val="26"/>
          <w:lang w:eastAsia="en-US"/>
        </w:rPr>
        <w:t xml:space="preserve"> 100% від плану;</w:t>
      </w:r>
    </w:p>
    <w:p w:rsidR="00D315DB" w:rsidRPr="00000C1E" w:rsidRDefault="00D315DB" w:rsidP="00000C1E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- 61 котелень -</w:t>
      </w:r>
      <w:r w:rsidRPr="00000C1E">
        <w:rPr>
          <w:sz w:val="26"/>
          <w:szCs w:val="26"/>
          <w:lang w:eastAsia="en-US"/>
        </w:rPr>
        <w:t xml:space="preserve"> 100%</w:t>
      </w:r>
      <w:r>
        <w:rPr>
          <w:sz w:val="26"/>
          <w:szCs w:val="26"/>
          <w:lang w:eastAsia="en-US"/>
        </w:rPr>
        <w:t xml:space="preserve"> </w:t>
      </w:r>
      <w:r w:rsidRPr="00000C1E">
        <w:rPr>
          <w:sz w:val="26"/>
          <w:szCs w:val="26"/>
          <w:lang w:eastAsia="en-US"/>
        </w:rPr>
        <w:t>від плану;</w:t>
      </w:r>
    </w:p>
    <w:p w:rsidR="00D315DB" w:rsidRPr="008C01D5" w:rsidRDefault="00D315DB" w:rsidP="00000C1E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- 245,9 км теплових мереж -</w:t>
      </w:r>
      <w:r w:rsidRPr="00000C1E">
        <w:rPr>
          <w:sz w:val="26"/>
          <w:szCs w:val="26"/>
          <w:lang w:eastAsia="en-US"/>
        </w:rPr>
        <w:t>100% від плану;</w:t>
      </w:r>
    </w:p>
    <w:p w:rsidR="00D315DB" w:rsidRPr="008C01D5" w:rsidRDefault="00D315DB" w:rsidP="00000C1E">
      <w:pPr>
        <w:ind w:firstLine="709"/>
        <w:jc w:val="both"/>
        <w:rPr>
          <w:rFonts w:eastAsia="Arial Unicode MS"/>
          <w:sz w:val="26"/>
          <w:szCs w:val="26"/>
          <w:lang w:eastAsia="en-US"/>
        </w:rPr>
      </w:pPr>
      <w:r w:rsidRPr="008C01D5">
        <w:rPr>
          <w:rFonts w:eastAsia="Arial Unicode MS"/>
          <w:sz w:val="26"/>
          <w:szCs w:val="26"/>
          <w:lang w:eastAsia="en-US"/>
        </w:rPr>
        <w:t>- 2</w:t>
      </w:r>
      <w:r>
        <w:rPr>
          <w:rFonts w:eastAsia="Arial Unicode MS"/>
          <w:sz w:val="26"/>
          <w:szCs w:val="26"/>
          <w:lang w:eastAsia="en-US"/>
        </w:rPr>
        <w:t xml:space="preserve"> </w:t>
      </w:r>
      <w:r w:rsidRPr="008C01D5">
        <w:rPr>
          <w:rFonts w:eastAsia="Arial Unicode MS"/>
          <w:sz w:val="26"/>
          <w:szCs w:val="26"/>
          <w:lang w:eastAsia="en-US"/>
        </w:rPr>
        <w:t>860</w:t>
      </w:r>
      <w:r>
        <w:rPr>
          <w:rFonts w:eastAsia="Arial Unicode MS"/>
          <w:sz w:val="26"/>
          <w:szCs w:val="26"/>
          <w:lang w:eastAsia="en-US"/>
        </w:rPr>
        <w:t xml:space="preserve"> житлових будинки - </w:t>
      </w:r>
      <w:r w:rsidRPr="008C01D5">
        <w:rPr>
          <w:rFonts w:eastAsia="Arial Unicode MS"/>
          <w:sz w:val="26"/>
          <w:szCs w:val="26"/>
          <w:lang w:eastAsia="en-US"/>
        </w:rPr>
        <w:t>98,5% від плану.</w:t>
      </w:r>
    </w:p>
    <w:p w:rsidR="00D315DB" w:rsidRPr="00F80CB1" w:rsidRDefault="00D315DB" w:rsidP="00000C1E">
      <w:pPr>
        <w:ind w:firstLine="709"/>
        <w:jc w:val="both"/>
        <w:rPr>
          <w:sz w:val="26"/>
          <w:szCs w:val="26"/>
          <w:lang w:eastAsia="en-US"/>
        </w:rPr>
      </w:pPr>
      <w:r w:rsidRPr="00F80CB1">
        <w:rPr>
          <w:sz w:val="26"/>
          <w:szCs w:val="26"/>
          <w:lang w:eastAsia="en-US"/>
        </w:rPr>
        <w:t>Крім того Департаментом забезпечується подання актуальних матеріалів з розгляду проблемних питань щодо своєчасного початку опалювального сезону 2019/20 року та подачі теплоносія до споживачів на щотижневі наради під головуванням голови облдержадміністрації.</w:t>
      </w:r>
    </w:p>
    <w:p w:rsidR="00D315DB" w:rsidRPr="008C01D5" w:rsidRDefault="00D315DB" w:rsidP="00980752">
      <w:pPr>
        <w:ind w:firstLine="720"/>
        <w:jc w:val="both"/>
        <w:rPr>
          <w:sz w:val="26"/>
          <w:szCs w:val="26"/>
        </w:rPr>
      </w:pPr>
      <w:r w:rsidRPr="008C01D5">
        <w:rPr>
          <w:sz w:val="26"/>
          <w:szCs w:val="26"/>
        </w:rPr>
        <w:t xml:space="preserve">16 жовтня поточного року </w:t>
      </w:r>
      <w:r>
        <w:rPr>
          <w:sz w:val="26"/>
          <w:szCs w:val="26"/>
        </w:rPr>
        <w:t xml:space="preserve">Департаментом </w:t>
      </w:r>
      <w:r w:rsidRPr="008C01D5">
        <w:rPr>
          <w:sz w:val="26"/>
          <w:szCs w:val="26"/>
        </w:rPr>
        <w:t>проведено засідання «круглого столу» на тему: «Підготовка багатоквартирних будинків до опалювального сезону» за участю представників Херсонської міської ради, голів районних у м.</w:t>
      </w:r>
      <w:r>
        <w:rPr>
          <w:sz w:val="26"/>
          <w:szCs w:val="26"/>
        </w:rPr>
        <w:t xml:space="preserve"> </w:t>
      </w:r>
      <w:r w:rsidRPr="008C01D5">
        <w:rPr>
          <w:sz w:val="26"/>
          <w:szCs w:val="26"/>
        </w:rPr>
        <w:t>Херсоні рад, керівників теплопостачальних підприємств, голів ОСББ та громадськості. Обговорено проблемні питання пов’язані із готовністю багатоквартирних будинків, де створені ОСББ, до приймання теплоносія.</w:t>
      </w:r>
    </w:p>
    <w:p w:rsidR="00D315DB" w:rsidRPr="00000C1E" w:rsidRDefault="00D315DB" w:rsidP="00000C1E">
      <w:pPr>
        <w:ind w:firstLine="709"/>
        <w:jc w:val="both"/>
        <w:rPr>
          <w:sz w:val="26"/>
          <w:szCs w:val="26"/>
          <w:lang w:eastAsia="en-US"/>
        </w:rPr>
      </w:pPr>
      <w:r w:rsidRPr="00000C1E">
        <w:rPr>
          <w:sz w:val="26"/>
          <w:szCs w:val="26"/>
          <w:lang w:eastAsia="en-US"/>
        </w:rPr>
        <w:t xml:space="preserve">Відповідно до Закону України «Про ліцензування видів господарської діяльності», постанови Кабінету Міністрів України від 05 серпня 2015 року № 609 «Про затвердження переліку органів ліцензування та визнання такими, що втратили чинність, деяких постанов Кабінету Міністрів України», Закону України «Про місцеві державні адміністрації» </w:t>
      </w:r>
      <w:r>
        <w:rPr>
          <w:sz w:val="26"/>
          <w:szCs w:val="26"/>
          <w:lang w:eastAsia="en-US"/>
        </w:rPr>
        <w:t>Департаментом підготовлено</w:t>
      </w:r>
      <w:r w:rsidRPr="00000C1E">
        <w:rPr>
          <w:sz w:val="26"/>
          <w:szCs w:val="26"/>
          <w:lang w:eastAsia="en-US"/>
        </w:rPr>
        <w:t xml:space="preserve"> проекти розпоряджень голови обласної державної адміністрації щодо видачі ліцензій</w:t>
      </w:r>
      <w:r w:rsidRPr="008C01D5">
        <w:rPr>
          <w:sz w:val="26"/>
          <w:szCs w:val="26"/>
          <w:lang w:eastAsia="en-US"/>
        </w:rPr>
        <w:t xml:space="preserve"> ФОП </w:t>
      </w:r>
      <w:r>
        <w:rPr>
          <w:sz w:val="26"/>
          <w:szCs w:val="26"/>
          <w:lang w:eastAsia="en-US"/>
        </w:rPr>
        <w:t>ДЕМ’ЯНЕНКО</w:t>
      </w:r>
      <w:r w:rsidRPr="008C01D5">
        <w:rPr>
          <w:sz w:val="26"/>
          <w:szCs w:val="26"/>
          <w:lang w:eastAsia="en-US"/>
        </w:rPr>
        <w:t xml:space="preserve"> А.І.</w:t>
      </w:r>
      <w:r w:rsidRPr="00000C1E">
        <w:rPr>
          <w:sz w:val="26"/>
          <w:szCs w:val="26"/>
          <w:lang w:eastAsia="en-US"/>
        </w:rPr>
        <w:t xml:space="preserve"> на право провадження господарської діяльності з виробництва, постачання теплової енергії, транспортування теплової енергії магістральними і місцевими (розподільчими) тепловими мережами</w:t>
      </w:r>
      <w:r w:rsidRPr="008C01D5">
        <w:rPr>
          <w:sz w:val="26"/>
          <w:szCs w:val="26"/>
          <w:lang w:eastAsia="en-US"/>
        </w:rPr>
        <w:t xml:space="preserve"> у ясла садок № 2 смт Новотроїцьке</w:t>
      </w:r>
      <w:r w:rsidRPr="00000C1E">
        <w:rPr>
          <w:sz w:val="26"/>
          <w:szCs w:val="26"/>
          <w:lang w:eastAsia="en-US"/>
        </w:rPr>
        <w:t>.</w:t>
      </w:r>
    </w:p>
    <w:p w:rsidR="00D315DB" w:rsidRPr="008C01D5" w:rsidRDefault="00D315DB" w:rsidP="00980752">
      <w:pPr>
        <w:ind w:firstLine="720"/>
        <w:jc w:val="both"/>
        <w:rPr>
          <w:sz w:val="26"/>
          <w:szCs w:val="26"/>
        </w:rPr>
      </w:pPr>
      <w:r w:rsidRPr="008C01D5">
        <w:rPr>
          <w:sz w:val="26"/>
          <w:szCs w:val="26"/>
        </w:rPr>
        <w:t xml:space="preserve">На виконання Закону України «Про комерційний облік теплової енергії та водопостачання» в області </w:t>
      </w:r>
      <w:r>
        <w:rPr>
          <w:sz w:val="26"/>
          <w:szCs w:val="26"/>
        </w:rPr>
        <w:t>н</w:t>
      </w:r>
      <w:r w:rsidRPr="008C01D5">
        <w:rPr>
          <w:sz w:val="26"/>
          <w:szCs w:val="26"/>
        </w:rPr>
        <w:t>а сьогодні фактично оснащено засобами обліку теплової енергії 85,9% багатоквартирних житлових будинків, засобами об</w:t>
      </w:r>
      <w:r>
        <w:rPr>
          <w:sz w:val="26"/>
          <w:szCs w:val="26"/>
        </w:rPr>
        <w:t xml:space="preserve">ліку холодного водопостачання </w:t>
      </w:r>
      <w:r w:rsidRPr="008C01D5">
        <w:rPr>
          <w:sz w:val="26"/>
          <w:szCs w:val="26"/>
        </w:rPr>
        <w:t>80%</w:t>
      </w:r>
      <w:r>
        <w:rPr>
          <w:sz w:val="26"/>
          <w:szCs w:val="26"/>
        </w:rPr>
        <w:t xml:space="preserve"> </w:t>
      </w:r>
      <w:r w:rsidRPr="008C01D5">
        <w:rPr>
          <w:sz w:val="26"/>
          <w:szCs w:val="26"/>
        </w:rPr>
        <w:t>багатоквартирних житлових будинків.</w:t>
      </w:r>
    </w:p>
    <w:p w:rsidR="00D315DB" w:rsidRPr="008C01D5" w:rsidRDefault="00D315DB" w:rsidP="000E24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Департаментом забезпечується</w:t>
      </w:r>
      <w:r w:rsidRPr="008C01D5">
        <w:rPr>
          <w:sz w:val="26"/>
          <w:szCs w:val="26"/>
        </w:rPr>
        <w:t xml:space="preserve"> веде</w:t>
      </w:r>
      <w:r>
        <w:rPr>
          <w:sz w:val="26"/>
          <w:szCs w:val="26"/>
        </w:rPr>
        <w:t>ння Реєстру загиблих учасників А</w:t>
      </w:r>
      <w:r w:rsidRPr="008C01D5">
        <w:rPr>
          <w:sz w:val="26"/>
          <w:szCs w:val="26"/>
        </w:rPr>
        <w:t>нтитерористичної операці</w:t>
      </w:r>
      <w:r>
        <w:rPr>
          <w:sz w:val="26"/>
          <w:szCs w:val="26"/>
        </w:rPr>
        <w:t>ї та О</w:t>
      </w:r>
      <w:r w:rsidRPr="008C01D5">
        <w:rPr>
          <w:sz w:val="26"/>
          <w:szCs w:val="26"/>
        </w:rPr>
        <w:t xml:space="preserve">перації об’єднаних сил, до якого внесено </w:t>
      </w:r>
      <w:r>
        <w:rPr>
          <w:sz w:val="26"/>
          <w:szCs w:val="26"/>
        </w:rPr>
        <w:t xml:space="preserve">                          </w:t>
      </w:r>
      <w:r w:rsidRPr="008C01D5">
        <w:rPr>
          <w:sz w:val="26"/>
          <w:szCs w:val="26"/>
        </w:rPr>
        <w:t>127 прізвищ загиблих воїнів – захисників України, похованих в області.</w:t>
      </w:r>
    </w:p>
    <w:p w:rsidR="00D315DB" w:rsidRDefault="00D315DB" w:rsidP="009141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1D5">
        <w:rPr>
          <w:rFonts w:ascii="TimesNewRoman" w:eastAsia="TimesNewRoman" w:cs="TimesNewRoman"/>
          <w:sz w:val="26"/>
          <w:szCs w:val="26"/>
        </w:rPr>
        <w:tab/>
      </w:r>
      <w:bookmarkStart w:id="0" w:name="_GoBack"/>
      <w:bookmarkEnd w:id="0"/>
    </w:p>
    <w:p w:rsidR="00D315DB" w:rsidRDefault="00D315DB" w:rsidP="00047FD2">
      <w:pPr>
        <w:jc w:val="both"/>
      </w:pPr>
    </w:p>
    <w:p w:rsidR="00D315DB" w:rsidRDefault="00D315DB" w:rsidP="00047FD2">
      <w:pPr>
        <w:jc w:val="both"/>
      </w:pPr>
    </w:p>
    <w:p w:rsidR="00D315DB" w:rsidRPr="00A30506" w:rsidRDefault="00D315DB" w:rsidP="008C3243">
      <w:pPr>
        <w:jc w:val="center"/>
        <w:rPr>
          <w:sz w:val="26"/>
          <w:szCs w:val="26"/>
        </w:rPr>
      </w:pPr>
      <w:r w:rsidRPr="00A30506">
        <w:rPr>
          <w:sz w:val="26"/>
          <w:szCs w:val="26"/>
        </w:rPr>
        <w:t>Заступник директ</w:t>
      </w:r>
      <w:r>
        <w:rPr>
          <w:sz w:val="26"/>
          <w:szCs w:val="26"/>
        </w:rPr>
        <w:t>ора Департаменту</w:t>
      </w:r>
      <w:r>
        <w:rPr>
          <w:sz w:val="26"/>
          <w:szCs w:val="26"/>
        </w:rPr>
        <w:tab/>
        <w:t xml:space="preserve">        </w:t>
      </w:r>
      <w:r w:rsidRPr="00A30506">
        <w:rPr>
          <w:sz w:val="26"/>
          <w:szCs w:val="26"/>
        </w:rPr>
        <w:tab/>
      </w:r>
      <w:r w:rsidRPr="00A30506">
        <w:rPr>
          <w:sz w:val="26"/>
          <w:szCs w:val="26"/>
        </w:rPr>
        <w:tab/>
      </w:r>
      <w:r w:rsidRPr="00A30506">
        <w:rPr>
          <w:sz w:val="26"/>
          <w:szCs w:val="26"/>
        </w:rPr>
        <w:tab/>
      </w:r>
      <w:r w:rsidRPr="00A30506">
        <w:rPr>
          <w:sz w:val="26"/>
          <w:szCs w:val="26"/>
        </w:rPr>
        <w:tab/>
        <w:t>В</w:t>
      </w:r>
      <w:r>
        <w:rPr>
          <w:sz w:val="26"/>
          <w:szCs w:val="26"/>
        </w:rPr>
        <w:t xml:space="preserve">іктор </w:t>
      </w:r>
      <w:r w:rsidRPr="00A30506">
        <w:rPr>
          <w:sz w:val="26"/>
          <w:szCs w:val="26"/>
        </w:rPr>
        <w:t>РАССОЛОВ</w:t>
      </w:r>
    </w:p>
    <w:p w:rsidR="00D315DB" w:rsidRPr="00047FD2" w:rsidRDefault="00D315DB" w:rsidP="00047FD2">
      <w:pPr>
        <w:jc w:val="both"/>
      </w:pPr>
    </w:p>
    <w:sectPr w:rsidR="00D315DB" w:rsidRPr="00047FD2" w:rsidSect="009B6A1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DB" w:rsidRDefault="00D315DB" w:rsidP="005E1303">
      <w:r>
        <w:separator/>
      </w:r>
    </w:p>
  </w:endnote>
  <w:endnote w:type="continuationSeparator" w:id="0">
    <w:p w:rsidR="00D315DB" w:rsidRDefault="00D315DB" w:rsidP="005E1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DB" w:rsidRDefault="00D315DB" w:rsidP="005E1303">
      <w:r>
        <w:separator/>
      </w:r>
    </w:p>
  </w:footnote>
  <w:footnote w:type="continuationSeparator" w:id="0">
    <w:p w:rsidR="00D315DB" w:rsidRDefault="00D315DB" w:rsidP="005E1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DB" w:rsidRDefault="00D315DB" w:rsidP="005E13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5DB" w:rsidRDefault="00D315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DB" w:rsidRDefault="00D315DB" w:rsidP="005E13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15DB" w:rsidRDefault="00D315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BC2"/>
    <w:multiLevelType w:val="hybridMultilevel"/>
    <w:tmpl w:val="878EC8AC"/>
    <w:lvl w:ilvl="0" w:tplc="88BE52C4">
      <w:numFmt w:val="bullet"/>
      <w:lvlText w:val="-"/>
      <w:lvlJc w:val="left"/>
      <w:pPr>
        <w:ind w:left="702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1">
    <w:nsid w:val="5F2B2F98"/>
    <w:multiLevelType w:val="hybridMultilevel"/>
    <w:tmpl w:val="F0CEC214"/>
    <w:lvl w:ilvl="0" w:tplc="7B18C73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7F9A0002"/>
    <w:multiLevelType w:val="hybridMultilevel"/>
    <w:tmpl w:val="4B70755C"/>
    <w:lvl w:ilvl="0" w:tplc="992A78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81B"/>
    <w:rsid w:val="00000C1E"/>
    <w:rsid w:val="0001045A"/>
    <w:rsid w:val="00015A3A"/>
    <w:rsid w:val="00047B02"/>
    <w:rsid w:val="00047D7D"/>
    <w:rsid w:val="00047FD2"/>
    <w:rsid w:val="00056674"/>
    <w:rsid w:val="0005706E"/>
    <w:rsid w:val="0007224B"/>
    <w:rsid w:val="00073516"/>
    <w:rsid w:val="0007603A"/>
    <w:rsid w:val="000B109C"/>
    <w:rsid w:val="000E24C7"/>
    <w:rsid w:val="000E4054"/>
    <w:rsid w:val="00103E5D"/>
    <w:rsid w:val="00107706"/>
    <w:rsid w:val="001225BE"/>
    <w:rsid w:val="0012611E"/>
    <w:rsid w:val="001325CA"/>
    <w:rsid w:val="001377E4"/>
    <w:rsid w:val="00143462"/>
    <w:rsid w:val="001456A4"/>
    <w:rsid w:val="00150363"/>
    <w:rsid w:val="00160093"/>
    <w:rsid w:val="00165E8A"/>
    <w:rsid w:val="00174055"/>
    <w:rsid w:val="00176589"/>
    <w:rsid w:val="00177104"/>
    <w:rsid w:val="00187517"/>
    <w:rsid w:val="00192A9D"/>
    <w:rsid w:val="001951C0"/>
    <w:rsid w:val="00195B2B"/>
    <w:rsid w:val="001B419C"/>
    <w:rsid w:val="001B4282"/>
    <w:rsid w:val="001C25A1"/>
    <w:rsid w:val="001D0BA5"/>
    <w:rsid w:val="001D549D"/>
    <w:rsid w:val="001F2B36"/>
    <w:rsid w:val="002041D8"/>
    <w:rsid w:val="002200DE"/>
    <w:rsid w:val="0025118C"/>
    <w:rsid w:val="00251B74"/>
    <w:rsid w:val="0026306A"/>
    <w:rsid w:val="00270F25"/>
    <w:rsid w:val="00284077"/>
    <w:rsid w:val="00286D16"/>
    <w:rsid w:val="002909AE"/>
    <w:rsid w:val="00294EB5"/>
    <w:rsid w:val="002A568A"/>
    <w:rsid w:val="002B11D9"/>
    <w:rsid w:val="002D7BAB"/>
    <w:rsid w:val="002E2D25"/>
    <w:rsid w:val="002F6367"/>
    <w:rsid w:val="00300EDD"/>
    <w:rsid w:val="00311382"/>
    <w:rsid w:val="00314B6D"/>
    <w:rsid w:val="0031702B"/>
    <w:rsid w:val="0033200F"/>
    <w:rsid w:val="00361B91"/>
    <w:rsid w:val="00364EF1"/>
    <w:rsid w:val="00364F28"/>
    <w:rsid w:val="00377132"/>
    <w:rsid w:val="00386928"/>
    <w:rsid w:val="003904F9"/>
    <w:rsid w:val="00393CE1"/>
    <w:rsid w:val="003B104D"/>
    <w:rsid w:val="003B58C7"/>
    <w:rsid w:val="003B63BE"/>
    <w:rsid w:val="003B6CD0"/>
    <w:rsid w:val="003C0459"/>
    <w:rsid w:val="003D42F7"/>
    <w:rsid w:val="003E281C"/>
    <w:rsid w:val="003E6FC2"/>
    <w:rsid w:val="003E7C08"/>
    <w:rsid w:val="003F39D9"/>
    <w:rsid w:val="00400ACA"/>
    <w:rsid w:val="00400DAA"/>
    <w:rsid w:val="00400FBC"/>
    <w:rsid w:val="00403D2D"/>
    <w:rsid w:val="004105FF"/>
    <w:rsid w:val="004219D7"/>
    <w:rsid w:val="00432B07"/>
    <w:rsid w:val="00436475"/>
    <w:rsid w:val="0044093E"/>
    <w:rsid w:val="0044118A"/>
    <w:rsid w:val="00446F7D"/>
    <w:rsid w:val="00447868"/>
    <w:rsid w:val="00477192"/>
    <w:rsid w:val="004B7455"/>
    <w:rsid w:val="004D2CA6"/>
    <w:rsid w:val="004D5CE6"/>
    <w:rsid w:val="004E0104"/>
    <w:rsid w:val="004F3726"/>
    <w:rsid w:val="005001B5"/>
    <w:rsid w:val="005021DF"/>
    <w:rsid w:val="005059ED"/>
    <w:rsid w:val="00511C8C"/>
    <w:rsid w:val="00522FA9"/>
    <w:rsid w:val="00525AEA"/>
    <w:rsid w:val="0053733D"/>
    <w:rsid w:val="00537C7A"/>
    <w:rsid w:val="005512E9"/>
    <w:rsid w:val="00557BDF"/>
    <w:rsid w:val="00581D24"/>
    <w:rsid w:val="00584FEA"/>
    <w:rsid w:val="0059129B"/>
    <w:rsid w:val="00593826"/>
    <w:rsid w:val="00597392"/>
    <w:rsid w:val="0059767C"/>
    <w:rsid w:val="005A47DE"/>
    <w:rsid w:val="005B0F25"/>
    <w:rsid w:val="005B34D2"/>
    <w:rsid w:val="005D1CA3"/>
    <w:rsid w:val="005D5442"/>
    <w:rsid w:val="005D5466"/>
    <w:rsid w:val="005E1303"/>
    <w:rsid w:val="005E1538"/>
    <w:rsid w:val="005E1CFD"/>
    <w:rsid w:val="005F6155"/>
    <w:rsid w:val="00603096"/>
    <w:rsid w:val="00604C1D"/>
    <w:rsid w:val="006227BD"/>
    <w:rsid w:val="00626267"/>
    <w:rsid w:val="00634771"/>
    <w:rsid w:val="00640B6D"/>
    <w:rsid w:val="006470C5"/>
    <w:rsid w:val="00657798"/>
    <w:rsid w:val="00680F85"/>
    <w:rsid w:val="00690AF0"/>
    <w:rsid w:val="00693B91"/>
    <w:rsid w:val="00694D90"/>
    <w:rsid w:val="006A4D66"/>
    <w:rsid w:val="006A7461"/>
    <w:rsid w:val="006A7CD8"/>
    <w:rsid w:val="006B1CDA"/>
    <w:rsid w:val="006B6E70"/>
    <w:rsid w:val="006C3D72"/>
    <w:rsid w:val="006E491F"/>
    <w:rsid w:val="006E52E7"/>
    <w:rsid w:val="006E5ACF"/>
    <w:rsid w:val="00701CDF"/>
    <w:rsid w:val="00725758"/>
    <w:rsid w:val="00730E36"/>
    <w:rsid w:val="007351AB"/>
    <w:rsid w:val="00736EEC"/>
    <w:rsid w:val="00761968"/>
    <w:rsid w:val="00764632"/>
    <w:rsid w:val="00766F4D"/>
    <w:rsid w:val="00782608"/>
    <w:rsid w:val="00785C8A"/>
    <w:rsid w:val="007921D9"/>
    <w:rsid w:val="007A453F"/>
    <w:rsid w:val="007B3A6B"/>
    <w:rsid w:val="007C2EDD"/>
    <w:rsid w:val="007F25F5"/>
    <w:rsid w:val="00800FCB"/>
    <w:rsid w:val="0080346E"/>
    <w:rsid w:val="008215C0"/>
    <w:rsid w:val="00830FBB"/>
    <w:rsid w:val="00834DC4"/>
    <w:rsid w:val="008379C2"/>
    <w:rsid w:val="00837EF3"/>
    <w:rsid w:val="008516E4"/>
    <w:rsid w:val="00851B8C"/>
    <w:rsid w:val="0085471D"/>
    <w:rsid w:val="00855576"/>
    <w:rsid w:val="0086566C"/>
    <w:rsid w:val="00880508"/>
    <w:rsid w:val="00896AB1"/>
    <w:rsid w:val="008972E2"/>
    <w:rsid w:val="008C01D5"/>
    <w:rsid w:val="008C3243"/>
    <w:rsid w:val="008D14DA"/>
    <w:rsid w:val="008D5935"/>
    <w:rsid w:val="008D64F2"/>
    <w:rsid w:val="008F0CF8"/>
    <w:rsid w:val="008F6BEE"/>
    <w:rsid w:val="009058F3"/>
    <w:rsid w:val="009141E1"/>
    <w:rsid w:val="0092229C"/>
    <w:rsid w:val="0092596F"/>
    <w:rsid w:val="00936F11"/>
    <w:rsid w:val="009402B0"/>
    <w:rsid w:val="00953586"/>
    <w:rsid w:val="00957188"/>
    <w:rsid w:val="0096430A"/>
    <w:rsid w:val="00971D73"/>
    <w:rsid w:val="00980752"/>
    <w:rsid w:val="009844D4"/>
    <w:rsid w:val="00985177"/>
    <w:rsid w:val="009936EB"/>
    <w:rsid w:val="009A17C0"/>
    <w:rsid w:val="009B237A"/>
    <w:rsid w:val="009B4286"/>
    <w:rsid w:val="009B4EB0"/>
    <w:rsid w:val="009B6A12"/>
    <w:rsid w:val="009C3398"/>
    <w:rsid w:val="009C3D70"/>
    <w:rsid w:val="009E139A"/>
    <w:rsid w:val="00A30506"/>
    <w:rsid w:val="00A46B41"/>
    <w:rsid w:val="00A47439"/>
    <w:rsid w:val="00A7417B"/>
    <w:rsid w:val="00A95CAD"/>
    <w:rsid w:val="00A95CD4"/>
    <w:rsid w:val="00A97EC3"/>
    <w:rsid w:val="00AA3A00"/>
    <w:rsid w:val="00AA7C65"/>
    <w:rsid w:val="00AB1C92"/>
    <w:rsid w:val="00AD681B"/>
    <w:rsid w:val="00AD6C7F"/>
    <w:rsid w:val="00AE1AC8"/>
    <w:rsid w:val="00AE628C"/>
    <w:rsid w:val="00AF056B"/>
    <w:rsid w:val="00B145BB"/>
    <w:rsid w:val="00B24335"/>
    <w:rsid w:val="00B301CE"/>
    <w:rsid w:val="00B41BE4"/>
    <w:rsid w:val="00B50619"/>
    <w:rsid w:val="00B5088B"/>
    <w:rsid w:val="00B64BFF"/>
    <w:rsid w:val="00B67719"/>
    <w:rsid w:val="00B87C29"/>
    <w:rsid w:val="00BA31AB"/>
    <w:rsid w:val="00BA3B84"/>
    <w:rsid w:val="00BD41B1"/>
    <w:rsid w:val="00C02CFC"/>
    <w:rsid w:val="00C0301D"/>
    <w:rsid w:val="00C14F42"/>
    <w:rsid w:val="00C35EF5"/>
    <w:rsid w:val="00C37DE2"/>
    <w:rsid w:val="00C45220"/>
    <w:rsid w:val="00C63599"/>
    <w:rsid w:val="00C739CE"/>
    <w:rsid w:val="00C77E20"/>
    <w:rsid w:val="00C872AF"/>
    <w:rsid w:val="00C96C0C"/>
    <w:rsid w:val="00CA1986"/>
    <w:rsid w:val="00CA3E1A"/>
    <w:rsid w:val="00CB28E4"/>
    <w:rsid w:val="00CB6F05"/>
    <w:rsid w:val="00CC22A2"/>
    <w:rsid w:val="00CD18EB"/>
    <w:rsid w:val="00CD49F5"/>
    <w:rsid w:val="00CD50B6"/>
    <w:rsid w:val="00CE4740"/>
    <w:rsid w:val="00D16C2A"/>
    <w:rsid w:val="00D315DB"/>
    <w:rsid w:val="00D66D3A"/>
    <w:rsid w:val="00D66DC5"/>
    <w:rsid w:val="00D70110"/>
    <w:rsid w:val="00D74FDD"/>
    <w:rsid w:val="00D80AE1"/>
    <w:rsid w:val="00D845A3"/>
    <w:rsid w:val="00DA16FF"/>
    <w:rsid w:val="00DA341A"/>
    <w:rsid w:val="00DB247C"/>
    <w:rsid w:val="00DC6C02"/>
    <w:rsid w:val="00DD1927"/>
    <w:rsid w:val="00DE5732"/>
    <w:rsid w:val="00DE61FD"/>
    <w:rsid w:val="00E170F7"/>
    <w:rsid w:val="00E24F14"/>
    <w:rsid w:val="00E67626"/>
    <w:rsid w:val="00E77EB2"/>
    <w:rsid w:val="00EA47A6"/>
    <w:rsid w:val="00EB55FC"/>
    <w:rsid w:val="00EC52C5"/>
    <w:rsid w:val="00ED7641"/>
    <w:rsid w:val="00EE430F"/>
    <w:rsid w:val="00EF332F"/>
    <w:rsid w:val="00EF37CB"/>
    <w:rsid w:val="00EF51C1"/>
    <w:rsid w:val="00F02676"/>
    <w:rsid w:val="00F065D2"/>
    <w:rsid w:val="00F16435"/>
    <w:rsid w:val="00F16B44"/>
    <w:rsid w:val="00F25D65"/>
    <w:rsid w:val="00F304BD"/>
    <w:rsid w:val="00F66132"/>
    <w:rsid w:val="00F741E2"/>
    <w:rsid w:val="00F80CB1"/>
    <w:rsid w:val="00F822B3"/>
    <w:rsid w:val="00F828DD"/>
    <w:rsid w:val="00F906F0"/>
    <w:rsid w:val="00FA18F2"/>
    <w:rsid w:val="00FB5BFB"/>
    <w:rsid w:val="00FD5AD7"/>
    <w:rsid w:val="00FD5C02"/>
    <w:rsid w:val="00FE5873"/>
    <w:rsid w:val="00FE59D7"/>
    <w:rsid w:val="00F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1B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rsid w:val="00AD681B"/>
    <w:rPr>
      <w:rFonts w:cs="Times New Roman"/>
      <w:color w:val="009933"/>
    </w:rPr>
  </w:style>
  <w:style w:type="character" w:styleId="Hyperlink">
    <w:name w:val="Hyperlink"/>
    <w:basedOn w:val="DefaultParagraphFont"/>
    <w:uiPriority w:val="99"/>
    <w:rsid w:val="00CD50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E52E7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ru-RU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132"/>
    <w:rPr>
      <w:rFonts w:cs="Times New Roman"/>
      <w:sz w:val="24"/>
      <w:szCs w:val="24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6E52E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color w:val="000000"/>
      <w:kern w:val="1"/>
      <w:sz w:val="21"/>
      <w:szCs w:val="21"/>
      <w:lang w:eastAsia="hi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77132"/>
    <w:rPr>
      <w:rFonts w:ascii="Courier New" w:hAnsi="Courier New" w:cs="Courier New"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6E52E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E52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132"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6E52E7"/>
    <w:rPr>
      <w:rFonts w:cs="Times New Roman"/>
    </w:rPr>
  </w:style>
  <w:style w:type="paragraph" w:styleId="ListParagraph">
    <w:name w:val="List Paragraph"/>
    <w:basedOn w:val="Normal"/>
    <w:uiPriority w:val="99"/>
    <w:qFormat/>
    <w:rsid w:val="00522FA9"/>
    <w:pPr>
      <w:ind w:left="720"/>
      <w:contextualSpacing/>
    </w:pPr>
    <w:rPr>
      <w:sz w:val="26"/>
      <w:szCs w:val="20"/>
    </w:rPr>
  </w:style>
  <w:style w:type="character" w:styleId="Strong">
    <w:name w:val="Strong"/>
    <w:basedOn w:val="DefaultParagraphFont"/>
    <w:uiPriority w:val="99"/>
    <w:qFormat/>
    <w:rsid w:val="00251B74"/>
    <w:rPr>
      <w:rFonts w:cs="Times New Roman"/>
      <w:b/>
    </w:rPr>
  </w:style>
  <w:style w:type="paragraph" w:customStyle="1" w:styleId="a">
    <w:name w:val="Знак Знак Знак Знак Знак Знак"/>
    <w:basedOn w:val="Normal"/>
    <w:uiPriority w:val="99"/>
    <w:rsid w:val="00436475"/>
    <w:rPr>
      <w:rFonts w:ascii="Verdana" w:hAnsi="Verdana" w:cs="Verdana"/>
      <w:sz w:val="20"/>
      <w:szCs w:val="20"/>
      <w:lang w:val="en-US" w:eastAsia="en-US"/>
    </w:rPr>
  </w:style>
  <w:style w:type="table" w:customStyle="1" w:styleId="1">
    <w:name w:val="Сетка таблицы1"/>
    <w:uiPriority w:val="99"/>
    <w:rsid w:val="002041D8"/>
    <w:rPr>
      <w:sz w:val="28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A17C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17C0"/>
    <w:rPr>
      <w:rFonts w:ascii="Tahoma" w:hAnsi="Tahoma" w:cs="Times New Roman"/>
      <w:sz w:val="16"/>
      <w:lang w:val="uk-UA"/>
    </w:rPr>
  </w:style>
  <w:style w:type="paragraph" w:styleId="NormalWeb">
    <w:name w:val="Normal (Web)"/>
    <w:basedOn w:val="Normal"/>
    <w:uiPriority w:val="99"/>
    <w:rsid w:val="00047FD2"/>
    <w:pPr>
      <w:spacing w:before="100" w:beforeAutospacing="1" w:after="100" w:afterAutospacing="1"/>
    </w:pPr>
    <w:rPr>
      <w:lang w:val="ru-RU"/>
    </w:rPr>
  </w:style>
  <w:style w:type="paragraph" w:customStyle="1" w:styleId="a2">
    <w:name w:val="a2"/>
    <w:basedOn w:val="Normal"/>
    <w:uiPriority w:val="99"/>
    <w:rsid w:val="00047FD2"/>
    <w:pPr>
      <w:spacing w:before="100" w:beforeAutospacing="1" w:after="100" w:afterAutospacing="1"/>
    </w:pPr>
    <w:rPr>
      <w:lang w:val="ru-RU"/>
    </w:rPr>
  </w:style>
  <w:style w:type="paragraph" w:customStyle="1" w:styleId="a3">
    <w:name w:val="a3"/>
    <w:basedOn w:val="Normal"/>
    <w:uiPriority w:val="99"/>
    <w:rsid w:val="00047FD2"/>
    <w:pPr>
      <w:spacing w:before="100" w:beforeAutospacing="1" w:after="100" w:afterAutospacing="1"/>
    </w:pPr>
    <w:rPr>
      <w:lang w:val="ru-RU"/>
    </w:rPr>
  </w:style>
  <w:style w:type="paragraph" w:customStyle="1" w:styleId="a4">
    <w:name w:val="a4"/>
    <w:basedOn w:val="Normal"/>
    <w:uiPriority w:val="99"/>
    <w:rsid w:val="00047FD2"/>
    <w:pPr>
      <w:spacing w:before="100" w:beforeAutospacing="1" w:after="100" w:afterAutospacing="1"/>
    </w:pPr>
    <w:rPr>
      <w:lang w:val="ru-RU"/>
    </w:rPr>
  </w:style>
  <w:style w:type="paragraph" w:customStyle="1" w:styleId="a5">
    <w:name w:val="a5"/>
    <w:basedOn w:val="Normal"/>
    <w:uiPriority w:val="99"/>
    <w:rsid w:val="00047FD2"/>
    <w:pPr>
      <w:spacing w:before="100" w:beforeAutospacing="1" w:after="100" w:afterAutospacing="1"/>
    </w:pPr>
    <w:rPr>
      <w:lang w:val="ru-RU"/>
    </w:rPr>
  </w:style>
  <w:style w:type="paragraph" w:customStyle="1" w:styleId="a0">
    <w:name w:val="a"/>
    <w:basedOn w:val="Normal"/>
    <w:uiPriority w:val="99"/>
    <w:rsid w:val="00047FD2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documentu"/>
    <w:basedOn w:val="Normal"/>
    <w:uiPriority w:val="99"/>
    <w:rsid w:val="00047FD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6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2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EED"/>
                                        <w:left w:val="single" w:sz="6" w:space="0" w:color="D5DEED"/>
                                        <w:bottom w:val="none" w:sz="0" w:space="0" w:color="auto"/>
                                        <w:right w:val="single" w:sz="6" w:space="0" w:color="D5DEED"/>
                                      </w:divBdr>
                                      <w:divsChild>
                                        <w:div w:id="123812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2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1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636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12638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126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6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6376">
                  <w:marLeft w:val="0"/>
                  <w:marRight w:val="0"/>
                  <w:marTop w:val="0"/>
                  <w:marBottom w:val="0"/>
                  <w:divBdr>
                    <w:top w:val="single" w:sz="6" w:space="30" w:color="E6E9EB"/>
                    <w:left w:val="none" w:sz="0" w:space="31" w:color="auto"/>
                    <w:bottom w:val="single" w:sz="6" w:space="30" w:color="E6E9EB"/>
                    <w:right w:val="none" w:sz="0" w:space="15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710</Words>
  <Characters>4053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обласної державної адміністрації </dc:title>
  <dc:subject/>
  <dc:creator>User</dc:creator>
  <cp:keywords/>
  <dc:description/>
  <cp:lastModifiedBy>пользователь</cp:lastModifiedBy>
  <cp:revision>11</cp:revision>
  <cp:lastPrinted>2018-10-18T11:38:00Z</cp:lastPrinted>
  <dcterms:created xsi:type="dcterms:W3CDTF">2019-11-01T13:03:00Z</dcterms:created>
  <dcterms:modified xsi:type="dcterms:W3CDTF">2019-11-08T06:43:00Z</dcterms:modified>
</cp:coreProperties>
</file>