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EE" w:rsidRPr="00DF14CE" w:rsidRDefault="00614BEE" w:rsidP="006B497E">
      <w:pPr>
        <w:tabs>
          <w:tab w:val="left" w:pos="12780"/>
        </w:tabs>
        <w:spacing w:line="235" w:lineRule="auto"/>
        <w:ind w:firstLine="11880"/>
        <w:jc w:val="both"/>
        <w:outlineLvl w:val="2"/>
        <w:rPr>
          <w:bCs/>
          <w:sz w:val="26"/>
          <w:szCs w:val="26"/>
          <w:lang w:val="uk-UA"/>
        </w:rPr>
      </w:pPr>
      <w:bookmarkStart w:id="0" w:name="OLE_LINK8"/>
      <w:r w:rsidRPr="00DF14CE">
        <w:rPr>
          <w:bCs/>
          <w:sz w:val="26"/>
          <w:szCs w:val="26"/>
          <w:lang w:val="uk-UA"/>
        </w:rPr>
        <w:t xml:space="preserve">Додаток </w:t>
      </w:r>
      <w:bookmarkEnd w:id="0"/>
      <w:r w:rsidRPr="00DF14CE">
        <w:rPr>
          <w:bCs/>
          <w:sz w:val="26"/>
          <w:szCs w:val="26"/>
          <w:lang w:val="uk-UA"/>
        </w:rPr>
        <w:t>2</w:t>
      </w:r>
    </w:p>
    <w:p w:rsidR="00614BEE" w:rsidRPr="00DF14CE" w:rsidRDefault="00324E76" w:rsidP="006B497E">
      <w:pPr>
        <w:tabs>
          <w:tab w:val="left" w:pos="12780"/>
        </w:tabs>
        <w:spacing w:line="235" w:lineRule="auto"/>
        <w:ind w:firstLine="11880"/>
        <w:outlineLvl w:val="2"/>
        <w:rPr>
          <w:sz w:val="26"/>
          <w:szCs w:val="26"/>
          <w:lang w:val="uk-UA"/>
        </w:rPr>
      </w:pPr>
      <w:r w:rsidRPr="00DF14CE">
        <w:rPr>
          <w:sz w:val="26"/>
          <w:szCs w:val="26"/>
          <w:lang w:val="uk-UA"/>
        </w:rPr>
        <w:t>д</w:t>
      </w:r>
      <w:r w:rsidR="00614BEE" w:rsidRPr="00DF14CE">
        <w:rPr>
          <w:sz w:val="26"/>
          <w:szCs w:val="26"/>
          <w:lang w:val="uk-UA"/>
        </w:rPr>
        <w:t>о</w:t>
      </w:r>
      <w:r w:rsidRPr="00DF14CE">
        <w:rPr>
          <w:sz w:val="26"/>
          <w:szCs w:val="26"/>
          <w:lang w:val="uk-UA"/>
        </w:rPr>
        <w:t xml:space="preserve"> </w:t>
      </w:r>
      <w:r w:rsidR="00614BEE" w:rsidRPr="00DF14CE">
        <w:rPr>
          <w:sz w:val="26"/>
          <w:szCs w:val="26"/>
          <w:lang w:val="uk-UA"/>
        </w:rPr>
        <w:t xml:space="preserve">Програми </w:t>
      </w:r>
    </w:p>
    <w:p w:rsidR="00614BEE" w:rsidRPr="00DF14CE" w:rsidRDefault="00614BEE" w:rsidP="006B497E">
      <w:pPr>
        <w:tabs>
          <w:tab w:val="left" w:pos="5400"/>
        </w:tabs>
        <w:spacing w:line="235" w:lineRule="auto"/>
        <w:jc w:val="right"/>
        <w:rPr>
          <w:b/>
          <w:bCs/>
          <w:sz w:val="26"/>
          <w:szCs w:val="26"/>
          <w:lang w:val="uk-UA"/>
        </w:rPr>
      </w:pPr>
    </w:p>
    <w:p w:rsidR="0031226B" w:rsidRPr="00DF14CE" w:rsidRDefault="00614BEE" w:rsidP="006B497E">
      <w:pPr>
        <w:tabs>
          <w:tab w:val="left" w:pos="5400"/>
        </w:tabs>
        <w:spacing w:line="235" w:lineRule="auto"/>
        <w:jc w:val="center"/>
        <w:rPr>
          <w:b/>
          <w:bCs/>
          <w:sz w:val="26"/>
          <w:szCs w:val="26"/>
          <w:lang w:val="uk-UA"/>
        </w:rPr>
      </w:pPr>
      <w:r w:rsidRPr="00DF14CE">
        <w:rPr>
          <w:b/>
          <w:bCs/>
          <w:sz w:val="26"/>
          <w:szCs w:val="26"/>
          <w:lang w:val="uk-UA"/>
        </w:rPr>
        <w:t>НАПРЯМИ ДІЯЛЬНОСТІ ТА ЗАХОДИ</w:t>
      </w:r>
    </w:p>
    <w:p w:rsidR="00762911" w:rsidRPr="00DF14CE" w:rsidRDefault="00762911" w:rsidP="006B497E">
      <w:pPr>
        <w:shd w:val="clear" w:color="auto" w:fill="FFFFFF"/>
        <w:spacing w:line="235" w:lineRule="auto"/>
        <w:jc w:val="center"/>
        <w:rPr>
          <w:b/>
          <w:sz w:val="27"/>
          <w:szCs w:val="27"/>
          <w:lang w:val="uk-UA"/>
        </w:rPr>
      </w:pPr>
      <w:r w:rsidRPr="00DF14CE">
        <w:rPr>
          <w:b/>
          <w:sz w:val="27"/>
          <w:szCs w:val="27"/>
          <w:lang w:val="uk-UA"/>
        </w:rPr>
        <w:t xml:space="preserve">програми розвитку та функціонування української мови як державної </w:t>
      </w:r>
    </w:p>
    <w:p w:rsidR="00DF14CE" w:rsidRPr="00DF14CE" w:rsidRDefault="00762911" w:rsidP="006B497E">
      <w:pPr>
        <w:shd w:val="clear" w:color="auto" w:fill="FFFFFF"/>
        <w:spacing w:line="235" w:lineRule="auto"/>
        <w:jc w:val="center"/>
        <w:rPr>
          <w:b/>
          <w:sz w:val="27"/>
          <w:szCs w:val="27"/>
          <w:lang w:val="uk-UA"/>
        </w:rPr>
      </w:pPr>
      <w:r w:rsidRPr="00DF14CE">
        <w:rPr>
          <w:b/>
          <w:sz w:val="27"/>
          <w:szCs w:val="27"/>
          <w:lang w:val="uk-UA"/>
        </w:rPr>
        <w:t xml:space="preserve">в усіх сферах суспільного життя у Херсонській області </w:t>
      </w:r>
    </w:p>
    <w:p w:rsidR="00762911" w:rsidRPr="00DF14CE" w:rsidRDefault="00762911" w:rsidP="006B497E">
      <w:pPr>
        <w:shd w:val="clear" w:color="auto" w:fill="FFFFFF"/>
        <w:spacing w:line="235" w:lineRule="auto"/>
        <w:jc w:val="center"/>
        <w:rPr>
          <w:b/>
          <w:sz w:val="27"/>
          <w:szCs w:val="27"/>
          <w:lang w:val="uk-UA"/>
        </w:rPr>
      </w:pPr>
      <w:r w:rsidRPr="00DF14CE">
        <w:rPr>
          <w:b/>
          <w:sz w:val="27"/>
          <w:szCs w:val="27"/>
          <w:lang w:val="uk-UA"/>
        </w:rPr>
        <w:t>на 2023 – 2025 роки</w:t>
      </w:r>
    </w:p>
    <w:p w:rsidR="0031226B" w:rsidRPr="00DF14CE" w:rsidRDefault="00614BEE" w:rsidP="006B497E">
      <w:pPr>
        <w:tabs>
          <w:tab w:val="left" w:pos="12910"/>
        </w:tabs>
        <w:spacing w:line="235" w:lineRule="auto"/>
        <w:rPr>
          <w:lang w:val="uk-UA"/>
        </w:rPr>
      </w:pPr>
      <w:r w:rsidRPr="00DF14CE">
        <w:rPr>
          <w:lang w:val="uk-UA"/>
        </w:rPr>
        <w:tab/>
      </w:r>
    </w:p>
    <w:tbl>
      <w:tblPr>
        <w:tblW w:w="1604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836"/>
        <w:gridCol w:w="1417"/>
        <w:gridCol w:w="2126"/>
        <w:gridCol w:w="1163"/>
        <w:gridCol w:w="1135"/>
        <w:gridCol w:w="1134"/>
        <w:gridCol w:w="1084"/>
        <w:gridCol w:w="1134"/>
        <w:gridCol w:w="1750"/>
      </w:tblGrid>
      <w:tr w:rsidR="00AB4125" w:rsidRPr="00DF14CE" w:rsidTr="00CC2FCF">
        <w:trPr>
          <w:trHeight w:val="1085"/>
          <w:tblHeader/>
        </w:trPr>
        <w:tc>
          <w:tcPr>
            <w:tcW w:w="567" w:type="dxa"/>
            <w:vMerge w:val="restart"/>
          </w:tcPr>
          <w:p w:rsidR="00AB4125" w:rsidRPr="00DF14CE" w:rsidRDefault="00AB4125" w:rsidP="006B497E">
            <w:pPr>
              <w:spacing w:line="235" w:lineRule="auto"/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№ </w:t>
            </w:r>
            <w:r w:rsidR="00DF14CE">
              <w:rPr>
                <w:lang w:val="uk-UA"/>
              </w:rPr>
              <w:t>п</w:t>
            </w:r>
            <w:r w:rsidRPr="00DF14CE">
              <w:rPr>
                <w:lang w:val="uk-UA"/>
              </w:rPr>
              <w:t>/п</w:t>
            </w:r>
          </w:p>
        </w:tc>
        <w:tc>
          <w:tcPr>
            <w:tcW w:w="1701" w:type="dxa"/>
            <w:vMerge w:val="restart"/>
          </w:tcPr>
          <w:p w:rsidR="00AB4125" w:rsidRPr="00DF14CE" w:rsidRDefault="00AB4125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lang w:val="uk-UA"/>
              </w:rPr>
              <w:t>Назва напряму діяльності (пріоритетні завдання</w:t>
            </w:r>
            <w:r w:rsidRPr="00DF14CE">
              <w:rPr>
                <w:b/>
                <w:lang w:val="uk-UA"/>
              </w:rPr>
              <w:t>)</w:t>
            </w:r>
          </w:p>
        </w:tc>
        <w:tc>
          <w:tcPr>
            <w:tcW w:w="2836" w:type="dxa"/>
            <w:vMerge w:val="restart"/>
          </w:tcPr>
          <w:p w:rsidR="00AB4125" w:rsidRPr="00DF14CE" w:rsidRDefault="00AB4125" w:rsidP="006B497E">
            <w:pPr>
              <w:spacing w:line="235" w:lineRule="auto"/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Перелік заходів </w:t>
            </w:r>
          </w:p>
          <w:p w:rsidR="00AB4125" w:rsidRPr="00DF14CE" w:rsidRDefault="00AB4125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lang w:val="uk-UA"/>
              </w:rPr>
              <w:t>Програми</w:t>
            </w:r>
          </w:p>
        </w:tc>
        <w:tc>
          <w:tcPr>
            <w:tcW w:w="1417" w:type="dxa"/>
            <w:vMerge w:val="restart"/>
          </w:tcPr>
          <w:p w:rsidR="00AB4125" w:rsidRPr="00DF14CE" w:rsidRDefault="00AB4125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lang w:val="uk-UA"/>
              </w:rPr>
              <w:t>Строк виконання заходу</w:t>
            </w:r>
          </w:p>
        </w:tc>
        <w:tc>
          <w:tcPr>
            <w:tcW w:w="2126" w:type="dxa"/>
            <w:vMerge w:val="restart"/>
          </w:tcPr>
          <w:p w:rsidR="00AB4125" w:rsidRPr="00DF14CE" w:rsidRDefault="00AB4125" w:rsidP="006B497E">
            <w:pPr>
              <w:spacing w:line="235" w:lineRule="auto"/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Виконавці</w:t>
            </w:r>
          </w:p>
        </w:tc>
        <w:tc>
          <w:tcPr>
            <w:tcW w:w="1163" w:type="dxa"/>
            <w:vMerge w:val="restart"/>
          </w:tcPr>
          <w:p w:rsidR="00AB4125" w:rsidRPr="00DF14CE" w:rsidRDefault="00AB4125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lang w:val="uk-UA"/>
              </w:rPr>
              <w:t xml:space="preserve">Джерела </w:t>
            </w:r>
            <w:proofErr w:type="spellStart"/>
            <w:r w:rsidRPr="00DF14CE">
              <w:rPr>
                <w:lang w:val="uk-UA"/>
              </w:rPr>
              <w:t>фінансу-вання</w:t>
            </w:r>
            <w:proofErr w:type="spellEnd"/>
          </w:p>
        </w:tc>
        <w:tc>
          <w:tcPr>
            <w:tcW w:w="4487" w:type="dxa"/>
            <w:gridSpan w:val="4"/>
          </w:tcPr>
          <w:p w:rsidR="00AB4125" w:rsidRPr="00DF14CE" w:rsidRDefault="00DF14CE" w:rsidP="006B497E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Орієнтов</w:t>
            </w:r>
            <w:r w:rsidR="00AB4125" w:rsidRPr="00DF14CE">
              <w:rPr>
                <w:lang w:val="uk-UA"/>
              </w:rPr>
              <w:t>ні обсяги фінансування (вартість),</w:t>
            </w:r>
          </w:p>
          <w:p w:rsidR="00AB4125" w:rsidRPr="00DF14CE" w:rsidRDefault="00AB4125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lang w:val="uk-UA"/>
              </w:rPr>
              <w:t>тис. грн, у тому числі:</w:t>
            </w:r>
          </w:p>
        </w:tc>
        <w:tc>
          <w:tcPr>
            <w:tcW w:w="1750" w:type="dxa"/>
            <w:vMerge w:val="restart"/>
          </w:tcPr>
          <w:p w:rsidR="00AB4125" w:rsidRPr="00DF14CE" w:rsidRDefault="00AB4125" w:rsidP="006B497E">
            <w:pPr>
              <w:spacing w:line="235" w:lineRule="auto"/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Очікуваний результат</w:t>
            </w:r>
          </w:p>
          <w:p w:rsidR="00AB4125" w:rsidRPr="00DF14CE" w:rsidRDefault="00AB4125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lang w:val="uk-UA"/>
              </w:rPr>
              <w:t>(у натуральних вимірниках)</w:t>
            </w:r>
          </w:p>
        </w:tc>
      </w:tr>
      <w:tr w:rsidR="00AB4125" w:rsidRPr="00DF14CE" w:rsidTr="00CC2FCF">
        <w:trPr>
          <w:trHeight w:val="374"/>
          <w:tblHeader/>
        </w:trPr>
        <w:tc>
          <w:tcPr>
            <w:tcW w:w="567" w:type="dxa"/>
            <w:vMerge/>
            <w:vAlign w:val="center"/>
          </w:tcPr>
          <w:p w:rsidR="00AB4125" w:rsidRPr="00DF14CE" w:rsidRDefault="00AB4125" w:rsidP="006B497E">
            <w:pPr>
              <w:spacing w:line="235" w:lineRule="auto"/>
              <w:rPr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AB4125" w:rsidRPr="00DF14CE" w:rsidRDefault="00AB4125" w:rsidP="006B497E">
            <w:pPr>
              <w:spacing w:line="235" w:lineRule="auto"/>
              <w:rPr>
                <w:b/>
                <w:lang w:val="uk-UA"/>
              </w:rPr>
            </w:pPr>
          </w:p>
        </w:tc>
        <w:tc>
          <w:tcPr>
            <w:tcW w:w="2836" w:type="dxa"/>
            <w:vMerge/>
            <w:vAlign w:val="center"/>
          </w:tcPr>
          <w:p w:rsidR="00AB4125" w:rsidRPr="00DF14CE" w:rsidRDefault="00AB4125" w:rsidP="006B497E">
            <w:pPr>
              <w:spacing w:line="235" w:lineRule="auto"/>
              <w:rPr>
                <w:b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AB4125" w:rsidRPr="00DF14CE" w:rsidRDefault="00AB4125" w:rsidP="006B497E">
            <w:pPr>
              <w:spacing w:line="235" w:lineRule="auto"/>
              <w:rPr>
                <w:b/>
                <w:lang w:val="uk-UA"/>
              </w:rPr>
            </w:pPr>
          </w:p>
        </w:tc>
        <w:tc>
          <w:tcPr>
            <w:tcW w:w="2126" w:type="dxa"/>
            <w:vMerge/>
          </w:tcPr>
          <w:p w:rsidR="00AB4125" w:rsidRPr="00DF14CE" w:rsidRDefault="00AB4125" w:rsidP="006B497E">
            <w:pPr>
              <w:spacing w:line="235" w:lineRule="auto"/>
              <w:rPr>
                <w:b/>
                <w:lang w:val="uk-UA"/>
              </w:rPr>
            </w:pPr>
          </w:p>
        </w:tc>
        <w:tc>
          <w:tcPr>
            <w:tcW w:w="1163" w:type="dxa"/>
            <w:vMerge/>
            <w:vAlign w:val="center"/>
          </w:tcPr>
          <w:p w:rsidR="00AB4125" w:rsidRPr="00DF14CE" w:rsidRDefault="00AB4125" w:rsidP="006B497E">
            <w:pPr>
              <w:spacing w:line="235" w:lineRule="auto"/>
              <w:rPr>
                <w:b/>
                <w:lang w:val="uk-UA"/>
              </w:rPr>
            </w:pPr>
          </w:p>
        </w:tc>
        <w:tc>
          <w:tcPr>
            <w:tcW w:w="1135" w:type="dxa"/>
          </w:tcPr>
          <w:p w:rsidR="00AB4125" w:rsidRPr="00DF14CE" w:rsidRDefault="00DF14CE" w:rsidP="006B497E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="00AB4125" w:rsidRPr="00DF14CE">
              <w:rPr>
                <w:lang w:val="uk-UA"/>
              </w:rPr>
              <w:t xml:space="preserve">азом </w:t>
            </w:r>
          </w:p>
        </w:tc>
        <w:tc>
          <w:tcPr>
            <w:tcW w:w="1134" w:type="dxa"/>
          </w:tcPr>
          <w:p w:rsidR="00AB4125" w:rsidRPr="00DF14CE" w:rsidRDefault="00AB4125" w:rsidP="006B497E">
            <w:pPr>
              <w:spacing w:line="235" w:lineRule="auto"/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202</w:t>
            </w:r>
            <w:r w:rsidR="008A76D4">
              <w:rPr>
                <w:lang w:val="uk-UA"/>
              </w:rPr>
              <w:t>3</w:t>
            </w:r>
            <w:r w:rsidRPr="00DF14CE">
              <w:rPr>
                <w:lang w:val="uk-UA"/>
              </w:rPr>
              <w:t xml:space="preserve"> </w:t>
            </w:r>
          </w:p>
          <w:p w:rsidR="00AB4125" w:rsidRPr="00DF14CE" w:rsidRDefault="00AB4125" w:rsidP="006B497E">
            <w:pPr>
              <w:spacing w:line="235" w:lineRule="auto"/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рік</w:t>
            </w:r>
          </w:p>
        </w:tc>
        <w:tc>
          <w:tcPr>
            <w:tcW w:w="1084" w:type="dxa"/>
          </w:tcPr>
          <w:p w:rsidR="00AB4125" w:rsidRPr="00DF14CE" w:rsidRDefault="008A76D4" w:rsidP="006B497E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2024</w:t>
            </w:r>
          </w:p>
          <w:p w:rsidR="00AB4125" w:rsidRPr="00DF14CE" w:rsidRDefault="00AB4125" w:rsidP="006B497E">
            <w:pPr>
              <w:spacing w:line="235" w:lineRule="auto"/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рік</w:t>
            </w:r>
          </w:p>
        </w:tc>
        <w:tc>
          <w:tcPr>
            <w:tcW w:w="1134" w:type="dxa"/>
          </w:tcPr>
          <w:p w:rsidR="00AB4125" w:rsidRPr="00DF14CE" w:rsidRDefault="008A76D4" w:rsidP="006B497E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2025</w:t>
            </w:r>
          </w:p>
          <w:p w:rsidR="00AB4125" w:rsidRPr="00DF14CE" w:rsidRDefault="00AB4125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lang w:val="uk-UA"/>
              </w:rPr>
              <w:t>рік</w:t>
            </w:r>
          </w:p>
        </w:tc>
        <w:tc>
          <w:tcPr>
            <w:tcW w:w="1750" w:type="dxa"/>
            <w:vMerge/>
            <w:vAlign w:val="center"/>
          </w:tcPr>
          <w:p w:rsidR="00AB4125" w:rsidRPr="00DF14CE" w:rsidRDefault="00AB4125" w:rsidP="006B497E">
            <w:pPr>
              <w:spacing w:line="235" w:lineRule="auto"/>
              <w:ind w:left="-151" w:firstLine="43"/>
              <w:rPr>
                <w:b/>
                <w:lang w:val="uk-UA"/>
              </w:rPr>
            </w:pPr>
          </w:p>
        </w:tc>
      </w:tr>
    </w:tbl>
    <w:p w:rsidR="00614BEE" w:rsidRPr="00DF14CE" w:rsidRDefault="00614BEE" w:rsidP="006B497E">
      <w:pPr>
        <w:spacing w:line="235" w:lineRule="auto"/>
        <w:jc w:val="both"/>
        <w:rPr>
          <w:sz w:val="6"/>
          <w:szCs w:val="6"/>
          <w:lang w:val="uk-UA"/>
        </w:rPr>
      </w:pPr>
    </w:p>
    <w:tbl>
      <w:tblPr>
        <w:tblW w:w="1606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698"/>
        <w:gridCol w:w="2831"/>
        <w:gridCol w:w="1429"/>
        <w:gridCol w:w="2126"/>
        <w:gridCol w:w="1163"/>
        <w:gridCol w:w="1106"/>
        <w:gridCol w:w="28"/>
        <w:gridCol w:w="1134"/>
        <w:gridCol w:w="1084"/>
        <w:gridCol w:w="1125"/>
        <w:gridCol w:w="1774"/>
      </w:tblGrid>
      <w:tr w:rsidR="00614BEE" w:rsidRPr="00DF14CE" w:rsidTr="00CC2FCF">
        <w:trPr>
          <w:tblHeader/>
        </w:trPr>
        <w:tc>
          <w:tcPr>
            <w:tcW w:w="563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1</w:t>
            </w:r>
          </w:p>
        </w:tc>
        <w:tc>
          <w:tcPr>
            <w:tcW w:w="1698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2</w:t>
            </w:r>
          </w:p>
        </w:tc>
        <w:tc>
          <w:tcPr>
            <w:tcW w:w="2831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3</w:t>
            </w:r>
          </w:p>
        </w:tc>
        <w:tc>
          <w:tcPr>
            <w:tcW w:w="1429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4</w:t>
            </w:r>
          </w:p>
        </w:tc>
        <w:tc>
          <w:tcPr>
            <w:tcW w:w="2126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5</w:t>
            </w:r>
          </w:p>
        </w:tc>
        <w:tc>
          <w:tcPr>
            <w:tcW w:w="1163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6</w:t>
            </w:r>
          </w:p>
        </w:tc>
        <w:tc>
          <w:tcPr>
            <w:tcW w:w="1134" w:type="dxa"/>
            <w:gridSpan w:val="2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7</w:t>
            </w:r>
          </w:p>
        </w:tc>
        <w:tc>
          <w:tcPr>
            <w:tcW w:w="1134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8</w:t>
            </w:r>
          </w:p>
        </w:tc>
        <w:tc>
          <w:tcPr>
            <w:tcW w:w="1084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9</w:t>
            </w:r>
          </w:p>
        </w:tc>
        <w:tc>
          <w:tcPr>
            <w:tcW w:w="1125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10</w:t>
            </w:r>
          </w:p>
        </w:tc>
        <w:tc>
          <w:tcPr>
            <w:tcW w:w="1774" w:type="dxa"/>
          </w:tcPr>
          <w:p w:rsidR="00614BEE" w:rsidRPr="00DF14CE" w:rsidRDefault="00614BEE" w:rsidP="006B497E">
            <w:pPr>
              <w:spacing w:line="235" w:lineRule="auto"/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11</w:t>
            </w:r>
          </w:p>
        </w:tc>
      </w:tr>
      <w:tr w:rsidR="007816FC" w:rsidRPr="00DF14CE" w:rsidTr="008A76D4">
        <w:trPr>
          <w:trHeight w:val="1307"/>
        </w:trPr>
        <w:tc>
          <w:tcPr>
            <w:tcW w:w="563" w:type="dxa"/>
            <w:vMerge w:val="restart"/>
          </w:tcPr>
          <w:p w:rsidR="007816FC" w:rsidRPr="00DF14CE" w:rsidRDefault="007816FC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1.</w:t>
            </w:r>
          </w:p>
        </w:tc>
        <w:tc>
          <w:tcPr>
            <w:tcW w:w="1698" w:type="dxa"/>
            <w:vMerge w:val="restart"/>
          </w:tcPr>
          <w:p w:rsidR="007816FC" w:rsidRPr="00DF14CE" w:rsidRDefault="007816FC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Зміцнення державного</w:t>
            </w:r>
            <w:r w:rsidR="00DF14CE">
              <w:rPr>
                <w:lang w:val="uk-UA"/>
              </w:rPr>
              <w:t xml:space="preserve"> статусу української мови, вироб</w:t>
            </w:r>
            <w:r w:rsidRPr="00DF14CE">
              <w:rPr>
                <w:lang w:val="uk-UA"/>
              </w:rPr>
              <w:t>лення дієвого механізму її захисту, розвитку та популяризації</w:t>
            </w:r>
          </w:p>
        </w:tc>
        <w:tc>
          <w:tcPr>
            <w:tcW w:w="2831" w:type="dxa"/>
          </w:tcPr>
          <w:p w:rsidR="007816FC" w:rsidRDefault="00C34A95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1</w:t>
            </w:r>
            <w:r w:rsidR="00DF14CE">
              <w:rPr>
                <w:lang w:val="uk-UA"/>
              </w:rPr>
              <w:t>. </w:t>
            </w:r>
            <w:r w:rsidR="007816FC" w:rsidRPr="00DF14CE">
              <w:rPr>
                <w:lang w:val="uk-UA"/>
              </w:rPr>
              <w:t xml:space="preserve">Проведення </w:t>
            </w:r>
            <w:r w:rsidR="00DF14CE">
              <w:rPr>
                <w:lang w:val="uk-UA"/>
              </w:rPr>
              <w:t>літературного фестивалю до Дня у</w:t>
            </w:r>
            <w:r w:rsidR="007816FC" w:rsidRPr="00DF14CE">
              <w:rPr>
                <w:lang w:val="uk-UA"/>
              </w:rPr>
              <w:t>країнської писемності та мови</w:t>
            </w:r>
          </w:p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7816FC" w:rsidRPr="00DF14CE" w:rsidRDefault="00DF14CE" w:rsidP="008A7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7816FC" w:rsidRPr="00DF14CE">
              <w:rPr>
                <w:lang w:val="uk-UA"/>
              </w:rPr>
              <w:t xml:space="preserve">истопад </w:t>
            </w:r>
            <w:r w:rsidR="00FA4748">
              <w:rPr>
                <w:lang w:val="uk-UA"/>
              </w:rPr>
              <w:t>(</w:t>
            </w:r>
            <w:r w:rsidR="007816FC" w:rsidRPr="00DF14CE">
              <w:rPr>
                <w:lang w:val="uk-UA"/>
              </w:rPr>
              <w:t>щороку</w:t>
            </w:r>
            <w:r w:rsidR="00FA4748">
              <w:rPr>
                <w:lang w:val="uk-UA"/>
              </w:rPr>
              <w:t>)</w:t>
            </w:r>
          </w:p>
        </w:tc>
        <w:tc>
          <w:tcPr>
            <w:tcW w:w="2126" w:type="dxa"/>
          </w:tcPr>
          <w:p w:rsidR="007816FC" w:rsidRPr="00DF14CE" w:rsidRDefault="007816FC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Управління освіти і науки обласної державної адміністрації</w:t>
            </w:r>
          </w:p>
        </w:tc>
        <w:tc>
          <w:tcPr>
            <w:tcW w:w="1163" w:type="dxa"/>
          </w:tcPr>
          <w:p w:rsidR="007816FC" w:rsidRPr="00DF14CE" w:rsidRDefault="007816FC" w:rsidP="008A76D4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7816FC" w:rsidRPr="00DF14CE" w:rsidRDefault="007816FC" w:rsidP="008A76D4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7816FC" w:rsidRPr="00DF14CE" w:rsidRDefault="007816FC" w:rsidP="008A76D4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084" w:type="dxa"/>
          </w:tcPr>
          <w:p w:rsidR="007816FC" w:rsidRPr="00DF14CE" w:rsidRDefault="007816FC" w:rsidP="008A76D4">
            <w:pPr>
              <w:jc w:val="center"/>
              <w:rPr>
                <w:lang w:val="uk-UA"/>
              </w:rPr>
            </w:pPr>
          </w:p>
        </w:tc>
        <w:tc>
          <w:tcPr>
            <w:tcW w:w="1125" w:type="dxa"/>
          </w:tcPr>
          <w:p w:rsidR="007816FC" w:rsidRPr="00DF14CE" w:rsidRDefault="007816FC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7661F" w:rsidRDefault="007816FC" w:rsidP="008A76D4">
            <w:pPr>
              <w:shd w:val="clear" w:color="auto" w:fill="FFFFFF" w:themeFill="background1"/>
              <w:rPr>
                <w:lang w:val="uk-UA"/>
              </w:rPr>
            </w:pPr>
            <w:r w:rsidRPr="00DF14CE">
              <w:rPr>
                <w:lang w:val="uk-UA"/>
              </w:rPr>
              <w:t xml:space="preserve">Охоплення  заходом не менше             </w:t>
            </w:r>
          </w:p>
          <w:p w:rsidR="007816FC" w:rsidRPr="00DF14CE" w:rsidRDefault="007816FC" w:rsidP="008A76D4">
            <w:pPr>
              <w:shd w:val="clear" w:color="auto" w:fill="FFFFFF" w:themeFill="background1"/>
              <w:rPr>
                <w:lang w:val="uk-UA" w:eastAsia="uk-UA"/>
              </w:rPr>
            </w:pPr>
            <w:r w:rsidRPr="00DF14CE">
              <w:rPr>
                <w:lang w:val="uk-UA"/>
              </w:rPr>
              <w:t>10 тис. осіб</w:t>
            </w:r>
          </w:p>
        </w:tc>
      </w:tr>
      <w:tr w:rsidR="006710B5" w:rsidRPr="00DF14CE" w:rsidTr="00CC2FCF">
        <w:trPr>
          <w:trHeight w:val="410"/>
        </w:trPr>
        <w:tc>
          <w:tcPr>
            <w:tcW w:w="563" w:type="dxa"/>
            <w:vMerge/>
          </w:tcPr>
          <w:p w:rsidR="006710B5" w:rsidRPr="00DF14CE" w:rsidRDefault="006710B5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6710B5" w:rsidRPr="00DF14CE" w:rsidRDefault="006710B5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6710B5" w:rsidRPr="00DF14CE" w:rsidRDefault="00C34A95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2.</w:t>
            </w:r>
            <w:r w:rsidR="00DF14CE">
              <w:rPr>
                <w:lang w:val="uk-UA"/>
              </w:rPr>
              <w:t> </w:t>
            </w:r>
            <w:r w:rsidR="006710B5" w:rsidRPr="00DF14CE">
              <w:rPr>
                <w:lang w:val="uk-UA"/>
              </w:rPr>
              <w:t>Створення електронних бібліотек на базі пунктів незламності</w:t>
            </w:r>
            <w:r w:rsidR="009C6001" w:rsidRPr="00DF14CE">
              <w:rPr>
                <w:lang w:val="uk-UA"/>
              </w:rPr>
              <w:t>, розгорнутих у закладах освіти</w:t>
            </w:r>
          </w:p>
        </w:tc>
        <w:tc>
          <w:tcPr>
            <w:tcW w:w="1429" w:type="dxa"/>
          </w:tcPr>
          <w:p w:rsidR="00FA4748" w:rsidRDefault="00DF14CE" w:rsidP="008A7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6710B5" w:rsidRPr="00DF14CE">
              <w:rPr>
                <w:lang w:val="uk-UA"/>
              </w:rPr>
              <w:t xml:space="preserve">о </w:t>
            </w:r>
          </w:p>
          <w:p w:rsidR="006710B5" w:rsidRPr="00DF14CE" w:rsidRDefault="006710B5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01 вересня 2023 року</w:t>
            </w:r>
          </w:p>
        </w:tc>
        <w:tc>
          <w:tcPr>
            <w:tcW w:w="2126" w:type="dxa"/>
          </w:tcPr>
          <w:p w:rsidR="008A76D4" w:rsidRPr="00DF14CE" w:rsidRDefault="00C34A95" w:rsidP="00415AC8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Районні </w:t>
            </w:r>
            <w:r w:rsidR="006B497E"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 w:rsidR="006B497E"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адміністрації, в</w:t>
            </w:r>
            <w:r w:rsidR="006710B5" w:rsidRPr="00DF14CE">
              <w:rPr>
                <w:lang w:val="uk-UA"/>
              </w:rPr>
              <w:t>ійськові адміністрації населених пунктів</w:t>
            </w:r>
          </w:p>
        </w:tc>
        <w:tc>
          <w:tcPr>
            <w:tcW w:w="1163" w:type="dxa"/>
          </w:tcPr>
          <w:p w:rsidR="006710B5" w:rsidRPr="00DF14CE" w:rsidRDefault="006710B5" w:rsidP="008A76D4">
            <w:pPr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6710B5" w:rsidRPr="00DF14CE" w:rsidRDefault="006710B5" w:rsidP="008A76D4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6710B5" w:rsidRPr="00DF14CE" w:rsidRDefault="006710B5" w:rsidP="008A76D4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084" w:type="dxa"/>
          </w:tcPr>
          <w:p w:rsidR="006710B5" w:rsidRPr="00DF14CE" w:rsidRDefault="006710B5" w:rsidP="008A76D4">
            <w:pPr>
              <w:jc w:val="center"/>
              <w:rPr>
                <w:lang w:val="uk-UA"/>
              </w:rPr>
            </w:pPr>
          </w:p>
        </w:tc>
        <w:tc>
          <w:tcPr>
            <w:tcW w:w="1125" w:type="dxa"/>
          </w:tcPr>
          <w:p w:rsidR="006710B5" w:rsidRPr="00DF14CE" w:rsidRDefault="006710B5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0218AD" w:rsidRPr="00DF14CE" w:rsidRDefault="006710B5" w:rsidP="008A76D4">
            <w:pPr>
              <w:shd w:val="clear" w:color="auto" w:fill="FFFFFF" w:themeFill="background1"/>
              <w:rPr>
                <w:lang w:val="uk-UA"/>
              </w:rPr>
            </w:pPr>
            <w:r w:rsidRPr="00DF14CE">
              <w:rPr>
                <w:lang w:val="uk-UA"/>
              </w:rPr>
              <w:t xml:space="preserve">Створення </w:t>
            </w:r>
          </w:p>
          <w:p w:rsidR="006710B5" w:rsidRPr="00DF14CE" w:rsidRDefault="000218AD" w:rsidP="008A76D4">
            <w:pPr>
              <w:shd w:val="clear" w:color="auto" w:fill="FFFFFF" w:themeFill="background1"/>
              <w:rPr>
                <w:lang w:val="uk-UA"/>
              </w:rPr>
            </w:pPr>
            <w:r w:rsidRPr="00DF14CE">
              <w:rPr>
                <w:lang w:val="uk-UA"/>
              </w:rPr>
              <w:t>20 </w:t>
            </w:r>
            <w:r w:rsidR="006710B5" w:rsidRPr="00DF14CE">
              <w:rPr>
                <w:lang w:val="uk-UA"/>
              </w:rPr>
              <w:t>електрон</w:t>
            </w:r>
            <w:r w:rsidR="00B11D7C">
              <w:rPr>
                <w:lang w:val="uk-UA"/>
              </w:rPr>
              <w:t>-</w:t>
            </w:r>
            <w:r w:rsidR="006710B5" w:rsidRPr="00DF14CE">
              <w:rPr>
                <w:lang w:val="uk-UA"/>
              </w:rPr>
              <w:t>них бібліотек</w:t>
            </w:r>
          </w:p>
        </w:tc>
      </w:tr>
      <w:tr w:rsidR="008A76D4" w:rsidRPr="00DF14CE" w:rsidTr="00CC2FCF">
        <w:trPr>
          <w:trHeight w:val="41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8569A7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 xml:space="preserve">3. Відкриття мовних курсів для посадових та службових осіб органів державної влади, органів місцевого самоврядування, </w:t>
            </w:r>
            <w:r w:rsidRPr="00DF14CE">
              <w:rPr>
                <w:lang w:val="uk-UA"/>
              </w:rPr>
              <w:lastRenderedPageBreak/>
              <w:t>підприємств, установ і організацій державної та комунальної форм власності</w:t>
            </w:r>
          </w:p>
        </w:tc>
        <w:tc>
          <w:tcPr>
            <w:tcW w:w="1429" w:type="dxa"/>
          </w:tcPr>
          <w:p w:rsidR="008A76D4" w:rsidRPr="00DF14CE" w:rsidRDefault="008A76D4" w:rsidP="008569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  <w:r w:rsidRPr="00DF14CE">
              <w:rPr>
                <w:lang w:val="uk-UA"/>
              </w:rPr>
              <w:t xml:space="preserve">ересень – лютий </w:t>
            </w:r>
            <w:r>
              <w:rPr>
                <w:lang w:val="uk-UA"/>
              </w:rPr>
              <w:t>(</w:t>
            </w:r>
            <w:r w:rsidRPr="00DF14CE">
              <w:rPr>
                <w:lang w:val="uk-UA"/>
              </w:rPr>
              <w:t>щороку</w:t>
            </w:r>
            <w:r>
              <w:rPr>
                <w:lang w:val="uk-UA"/>
              </w:rPr>
              <w:t>)</w:t>
            </w:r>
          </w:p>
        </w:tc>
        <w:tc>
          <w:tcPr>
            <w:tcW w:w="2126" w:type="dxa"/>
          </w:tcPr>
          <w:p w:rsidR="008A76D4" w:rsidRPr="00DF14CE" w:rsidRDefault="008A76D4" w:rsidP="00415AC8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Комунальний вищий навчальний заклад «Херсонська академія </w:t>
            </w:r>
            <w:r w:rsidRPr="00DF14CE">
              <w:rPr>
                <w:lang w:val="uk-UA"/>
              </w:rPr>
              <w:lastRenderedPageBreak/>
              <w:t>неперервної освіти» Херсонської обласної ради (за згодою)</w:t>
            </w:r>
          </w:p>
        </w:tc>
        <w:tc>
          <w:tcPr>
            <w:tcW w:w="1163" w:type="dxa"/>
          </w:tcPr>
          <w:p w:rsidR="008A76D4" w:rsidRPr="00DF14CE" w:rsidRDefault="008A76D4" w:rsidP="008569A7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8A76D4" w:rsidRPr="00DF14CE" w:rsidRDefault="008A76D4" w:rsidP="008569A7">
            <w:pPr>
              <w:ind w:right="-108"/>
              <w:rPr>
                <w:lang w:val="uk-UA"/>
              </w:rPr>
            </w:pPr>
          </w:p>
        </w:tc>
        <w:tc>
          <w:tcPr>
            <w:tcW w:w="1134" w:type="dxa"/>
          </w:tcPr>
          <w:p w:rsidR="008A76D4" w:rsidRPr="00DF14CE" w:rsidRDefault="008A76D4" w:rsidP="008569A7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569A7">
            <w:pPr>
              <w:jc w:val="center"/>
              <w:rPr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569A7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569A7">
            <w:pPr>
              <w:shd w:val="clear" w:color="auto" w:fill="FFFFFF" w:themeFill="background1"/>
              <w:rPr>
                <w:lang w:val="uk-UA"/>
              </w:rPr>
            </w:pPr>
            <w:r>
              <w:rPr>
                <w:lang w:val="uk-UA"/>
              </w:rPr>
              <w:t xml:space="preserve">Охоплення </w:t>
            </w:r>
            <w:r w:rsidRPr="00DF14CE">
              <w:rPr>
                <w:lang w:val="uk-UA"/>
              </w:rPr>
              <w:t xml:space="preserve"> мовними курсами не менше </w:t>
            </w:r>
          </w:p>
          <w:p w:rsidR="008A76D4" w:rsidRPr="00DF14CE" w:rsidRDefault="008A76D4" w:rsidP="008569A7">
            <w:pPr>
              <w:shd w:val="clear" w:color="auto" w:fill="FFFFFF" w:themeFill="background1"/>
              <w:rPr>
                <w:lang w:val="uk-UA"/>
              </w:rPr>
            </w:pPr>
            <w:r w:rsidRPr="00DF14CE">
              <w:rPr>
                <w:lang w:val="uk-UA"/>
              </w:rPr>
              <w:t>200 осіб</w:t>
            </w:r>
          </w:p>
        </w:tc>
      </w:tr>
      <w:tr w:rsidR="008A76D4" w:rsidRPr="00DF14CE" w:rsidTr="008A76D4">
        <w:trPr>
          <w:trHeight w:val="2965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Default="008A76D4" w:rsidP="00254D80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 xml:space="preserve">4. Проведення семінарів, </w:t>
            </w:r>
            <w:proofErr w:type="spellStart"/>
            <w:r w:rsidRPr="00DF14CE">
              <w:rPr>
                <w:lang w:val="uk-UA"/>
              </w:rPr>
              <w:t>вебінарів</w:t>
            </w:r>
            <w:proofErr w:type="spellEnd"/>
            <w:r w:rsidRPr="00DF14CE">
              <w:rPr>
                <w:lang w:val="uk-UA"/>
              </w:rPr>
              <w:t xml:space="preserve">, бесід, лекцій, майстер-класів тощо серед здобувачів освіти у закладах професійної (професійно-технічної), фахової </w:t>
            </w:r>
            <w:proofErr w:type="spellStart"/>
            <w:r w:rsidRPr="00DF14CE">
              <w:rPr>
                <w:lang w:val="uk-UA"/>
              </w:rPr>
              <w:t>передвищої</w:t>
            </w:r>
            <w:proofErr w:type="spellEnd"/>
            <w:r w:rsidRPr="00DF14CE">
              <w:rPr>
                <w:lang w:val="uk-UA"/>
              </w:rPr>
              <w:t xml:space="preserve"> та вищої освіти з питань формування та реалізації державної мовної політики</w:t>
            </w:r>
          </w:p>
          <w:p w:rsidR="008A76D4" w:rsidRPr="00DF14CE" w:rsidRDefault="008A76D4" w:rsidP="00254D80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8A76D4" w:rsidRPr="00E912EA" w:rsidRDefault="008A76D4" w:rsidP="00254D80">
            <w:pPr>
              <w:jc w:val="center"/>
              <w:rPr>
                <w:lang w:val="uk-UA"/>
              </w:rPr>
            </w:pPr>
            <w:r w:rsidRPr="00E912E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254D80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Управління освіти і науки обласної державної адміністрації, заклади вищої освіти (за згодою)</w:t>
            </w:r>
          </w:p>
        </w:tc>
        <w:tc>
          <w:tcPr>
            <w:tcW w:w="1163" w:type="dxa"/>
          </w:tcPr>
          <w:p w:rsidR="008A76D4" w:rsidRPr="00DF14CE" w:rsidRDefault="008A76D4" w:rsidP="00254D80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254D80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254D80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254D8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254D80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254D80">
            <w:pPr>
              <w:shd w:val="clear" w:color="auto" w:fill="FFFFFF" w:themeFill="background1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Охоплення відповідними заходами </w:t>
            </w:r>
            <w:r w:rsidRPr="00DF14CE">
              <w:rPr>
                <w:lang w:val="uk-UA"/>
              </w:rPr>
              <w:t>не менше              7 тис. осіб</w:t>
            </w:r>
          </w:p>
        </w:tc>
      </w:tr>
      <w:tr w:rsidR="008A76D4" w:rsidRPr="00DF14CE" w:rsidTr="008A76D4">
        <w:trPr>
          <w:trHeight w:val="271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color w:val="000000"/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50430D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5</w:t>
            </w:r>
            <w:r>
              <w:rPr>
                <w:lang w:val="uk-UA"/>
              </w:rPr>
              <w:t>. </w:t>
            </w:r>
            <w:r w:rsidRPr="00DF14CE">
              <w:rPr>
                <w:lang w:val="uk-UA"/>
              </w:rPr>
              <w:t>Проведення обласного літературного туру «</w:t>
            </w:r>
            <w:proofErr w:type="spellStart"/>
            <w:r w:rsidRPr="00DF14CE">
              <w:rPr>
                <w:lang w:val="uk-UA"/>
              </w:rPr>
              <w:t>Книгомандри</w:t>
            </w:r>
            <w:proofErr w:type="spellEnd"/>
            <w:r w:rsidRPr="00DF14CE">
              <w:rPr>
                <w:lang w:val="uk-UA"/>
              </w:rPr>
              <w:t>» за участю українських сучасних видатних письменників</w:t>
            </w:r>
          </w:p>
        </w:tc>
        <w:tc>
          <w:tcPr>
            <w:tcW w:w="1429" w:type="dxa"/>
          </w:tcPr>
          <w:p w:rsidR="008A76D4" w:rsidRPr="00DF14CE" w:rsidRDefault="008A76D4" w:rsidP="0050430D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415AC8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Департамент реалізації гуманітарної політики обласної державної адміністрації, Херсонська обласна бібліотека для юнацтва ім.</w:t>
            </w:r>
            <w:r>
              <w:rPr>
                <w:lang w:val="uk-UA"/>
              </w:rPr>
              <w:t> </w:t>
            </w:r>
            <w:r w:rsidRPr="00DF14CE">
              <w:rPr>
                <w:lang w:val="uk-UA"/>
              </w:rPr>
              <w:t>Б.Лавреньова (за згодою),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50430D">
            <w:pPr>
              <w:jc w:val="center"/>
              <w:rPr>
                <w:lang w:val="uk-UA"/>
              </w:rPr>
            </w:pPr>
            <w:proofErr w:type="spellStart"/>
            <w:r w:rsidRPr="00DF14CE">
              <w:rPr>
                <w:lang w:val="uk-UA"/>
              </w:rPr>
              <w:t>Облас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ний</w:t>
            </w:r>
            <w:proofErr w:type="spellEnd"/>
            <w:r w:rsidRPr="00DF14CE">
              <w:rPr>
                <w:lang w:val="uk-UA"/>
              </w:rPr>
              <w:t xml:space="preserve"> бюджет</w:t>
            </w:r>
          </w:p>
        </w:tc>
        <w:tc>
          <w:tcPr>
            <w:tcW w:w="1106" w:type="dxa"/>
          </w:tcPr>
          <w:p w:rsidR="008A76D4" w:rsidRPr="00DF14CE" w:rsidRDefault="008A76D4" w:rsidP="0050430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DF14CE">
              <w:rPr>
                <w:lang w:val="uk-UA"/>
              </w:rPr>
              <w:t>00,0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50430D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50430D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200,0</w:t>
            </w:r>
          </w:p>
        </w:tc>
        <w:tc>
          <w:tcPr>
            <w:tcW w:w="1125" w:type="dxa"/>
          </w:tcPr>
          <w:p w:rsidR="008A76D4" w:rsidRPr="00DF14CE" w:rsidRDefault="008A76D4" w:rsidP="0050430D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200,0</w:t>
            </w:r>
          </w:p>
        </w:tc>
        <w:tc>
          <w:tcPr>
            <w:tcW w:w="1774" w:type="dxa"/>
          </w:tcPr>
          <w:p w:rsidR="008A76D4" w:rsidRPr="00DF14CE" w:rsidRDefault="008A76D4" w:rsidP="0050430D">
            <w:pPr>
              <w:shd w:val="clear" w:color="auto" w:fill="FFFFFF" w:themeFill="background1"/>
              <w:rPr>
                <w:lang w:val="uk-UA" w:eastAsia="uk-UA"/>
              </w:rPr>
            </w:pPr>
            <w:r w:rsidRPr="00DF14CE">
              <w:rPr>
                <w:lang w:val="uk-UA" w:eastAsia="uk-UA"/>
              </w:rPr>
              <w:t xml:space="preserve">Залучено до участі </w:t>
            </w:r>
            <w:r>
              <w:rPr>
                <w:lang w:val="uk-UA" w:eastAsia="uk-UA"/>
              </w:rPr>
              <w:t>в</w:t>
            </w:r>
            <w:r w:rsidRPr="00DF14CE">
              <w:rPr>
                <w:lang w:val="uk-UA" w:eastAsia="uk-UA"/>
              </w:rPr>
              <w:t xml:space="preserve"> заходах             5,7 тис. осіб</w:t>
            </w:r>
          </w:p>
        </w:tc>
      </w:tr>
      <w:tr w:rsidR="008A76D4" w:rsidRPr="00DF14CE" w:rsidTr="008A76D4">
        <w:trPr>
          <w:trHeight w:val="3312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color w:val="000000"/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627CA3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 xml:space="preserve">6. Проведення Південного фестивалю книги та читання «Південний Миколай» </w:t>
            </w:r>
          </w:p>
        </w:tc>
        <w:tc>
          <w:tcPr>
            <w:tcW w:w="1429" w:type="dxa"/>
          </w:tcPr>
          <w:p w:rsidR="008A76D4" w:rsidRPr="00DF14CE" w:rsidRDefault="008A76D4" w:rsidP="00627CA3">
            <w:pPr>
              <w:ind w:left="-79"/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Грудень </w:t>
            </w:r>
            <w:r>
              <w:rPr>
                <w:lang w:val="uk-UA"/>
              </w:rPr>
              <w:t>(</w:t>
            </w:r>
            <w:r w:rsidRPr="00DF14CE">
              <w:rPr>
                <w:lang w:val="uk-UA"/>
              </w:rPr>
              <w:t>щороку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8A76D4" w:rsidRDefault="008A76D4" w:rsidP="00627CA3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Департамент реалізації гуманітарної політики обласної державної адміністрації, обласні бібліотечні заклади (за згодою), військові адміністрації населених пунктів</w:t>
            </w:r>
          </w:p>
          <w:p w:rsidR="008A76D4" w:rsidRPr="00DF14CE" w:rsidRDefault="008A76D4" w:rsidP="00627CA3">
            <w:pPr>
              <w:jc w:val="center"/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Default="008A76D4" w:rsidP="00627CA3">
            <w:pPr>
              <w:jc w:val="center"/>
              <w:rPr>
                <w:lang w:val="uk-UA"/>
              </w:rPr>
            </w:pPr>
            <w:proofErr w:type="spellStart"/>
            <w:r w:rsidRPr="00DF14CE">
              <w:rPr>
                <w:lang w:val="uk-UA"/>
              </w:rPr>
              <w:t>Облас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ний</w:t>
            </w:r>
            <w:proofErr w:type="spellEnd"/>
            <w:r w:rsidRPr="00DF14CE">
              <w:rPr>
                <w:lang w:val="uk-UA"/>
              </w:rPr>
              <w:t xml:space="preserve"> бюджет</w:t>
            </w:r>
          </w:p>
          <w:p w:rsidR="008A76D4" w:rsidRDefault="008A76D4" w:rsidP="00627CA3">
            <w:pPr>
              <w:jc w:val="center"/>
              <w:rPr>
                <w:lang w:val="uk-UA"/>
              </w:rPr>
            </w:pPr>
          </w:p>
          <w:p w:rsidR="008A76D4" w:rsidRPr="00DF14CE" w:rsidRDefault="008A76D4" w:rsidP="00627CA3">
            <w:pPr>
              <w:jc w:val="center"/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300,0</w:t>
            </w:r>
          </w:p>
        </w:tc>
        <w:tc>
          <w:tcPr>
            <w:tcW w:w="1162" w:type="dxa"/>
            <w:gridSpan w:val="2"/>
          </w:tcPr>
          <w:p w:rsidR="008A76D4" w:rsidRDefault="008A76D4" w:rsidP="00627CA3">
            <w:pPr>
              <w:ind w:right="-108"/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100,0</w:t>
            </w:r>
          </w:p>
          <w:p w:rsidR="008A76D4" w:rsidRPr="00DF14CE" w:rsidRDefault="008A76D4" w:rsidP="008A76D4">
            <w:pPr>
              <w:ind w:right="-108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100,0</w:t>
            </w:r>
          </w:p>
        </w:tc>
        <w:tc>
          <w:tcPr>
            <w:tcW w:w="1125" w:type="dxa"/>
          </w:tcPr>
          <w:p w:rsidR="008A76D4" w:rsidRDefault="008A76D4" w:rsidP="00627CA3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100,0</w:t>
            </w:r>
          </w:p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Default="008A76D4" w:rsidP="00627CA3">
            <w:pPr>
              <w:rPr>
                <w:lang w:val="uk-UA" w:eastAsia="uk-UA"/>
              </w:rPr>
            </w:pPr>
            <w:r w:rsidRPr="00DF14CE">
              <w:rPr>
                <w:lang w:val="uk-UA" w:eastAsia="uk-UA"/>
              </w:rPr>
              <w:t>Охоплення заходами</w:t>
            </w:r>
          </w:p>
          <w:p w:rsidR="008A76D4" w:rsidRDefault="008A76D4" w:rsidP="00627CA3">
            <w:pPr>
              <w:rPr>
                <w:lang w:val="uk-UA" w:eastAsia="uk-UA"/>
              </w:rPr>
            </w:pPr>
            <w:r w:rsidRPr="00DF14CE">
              <w:rPr>
                <w:lang w:val="uk-UA" w:eastAsia="uk-UA"/>
              </w:rPr>
              <w:t xml:space="preserve">1500 осіб </w:t>
            </w:r>
          </w:p>
          <w:p w:rsidR="008A76D4" w:rsidRDefault="00415AC8" w:rsidP="00627CA3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щ</w:t>
            </w:r>
            <w:r w:rsidR="008A76D4" w:rsidRPr="00DF14CE">
              <w:rPr>
                <w:lang w:val="uk-UA" w:eastAsia="uk-UA"/>
              </w:rPr>
              <w:t>ороку</w:t>
            </w:r>
          </w:p>
          <w:p w:rsidR="008A76D4" w:rsidRPr="00DF14CE" w:rsidRDefault="008A76D4" w:rsidP="00627CA3">
            <w:pPr>
              <w:rPr>
                <w:lang w:val="uk-UA" w:eastAsia="uk-UA"/>
              </w:rPr>
            </w:pPr>
          </w:p>
        </w:tc>
      </w:tr>
      <w:tr w:rsidR="008A76D4" w:rsidRPr="00DF14CE" w:rsidTr="008A76D4">
        <w:trPr>
          <w:trHeight w:val="360"/>
        </w:trPr>
        <w:tc>
          <w:tcPr>
            <w:tcW w:w="8647" w:type="dxa"/>
            <w:gridSpan w:val="5"/>
            <w:vMerge w:val="restart"/>
          </w:tcPr>
          <w:p w:rsidR="008A76D4" w:rsidRPr="00DF14CE" w:rsidRDefault="008A76D4" w:rsidP="008A76D4">
            <w:pPr>
              <w:rPr>
                <w:i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Всього за напрямом 1: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Всього,</w:t>
            </w:r>
          </w:p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у т.ч.: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</w:t>
            </w:r>
            <w:r w:rsidRPr="00DF14CE">
              <w:rPr>
                <w:b/>
                <w:color w:val="000000"/>
                <w:lang w:val="uk-UA"/>
              </w:rPr>
              <w:t>00,0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  <w:r w:rsidRPr="00DF14CE">
              <w:rPr>
                <w:b/>
                <w:color w:val="000000"/>
                <w:lang w:val="uk-UA"/>
              </w:rPr>
              <w:t>00,0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300,0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300,0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603"/>
        </w:trPr>
        <w:tc>
          <w:tcPr>
            <w:tcW w:w="8647" w:type="dxa"/>
            <w:gridSpan w:val="5"/>
            <w:vMerge/>
          </w:tcPr>
          <w:p w:rsidR="008A76D4" w:rsidRPr="00DF14CE" w:rsidRDefault="008A76D4" w:rsidP="008A76D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О</w:t>
            </w:r>
            <w:r w:rsidRPr="00DF14CE">
              <w:rPr>
                <w:b/>
                <w:lang w:val="uk-UA"/>
              </w:rPr>
              <w:t>бла</w:t>
            </w:r>
            <w:r>
              <w:rPr>
                <w:b/>
                <w:lang w:val="uk-UA"/>
              </w:rPr>
              <w:t>с-</w:t>
            </w:r>
            <w:r w:rsidRPr="00DF14CE">
              <w:rPr>
                <w:b/>
                <w:lang w:val="uk-UA"/>
              </w:rPr>
              <w:t>ний</w:t>
            </w:r>
            <w:proofErr w:type="spellEnd"/>
            <w:r w:rsidRPr="00DF14CE">
              <w:rPr>
                <w:b/>
                <w:lang w:val="uk-UA"/>
              </w:rPr>
              <w:t xml:space="preserve"> бюджет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</w:t>
            </w:r>
            <w:r w:rsidRPr="00DF14CE">
              <w:rPr>
                <w:b/>
                <w:color w:val="000000"/>
                <w:lang w:val="uk-UA"/>
              </w:rPr>
              <w:t>00,0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</w:t>
            </w:r>
            <w:r w:rsidRPr="00DF14CE">
              <w:rPr>
                <w:b/>
                <w:color w:val="000000"/>
                <w:lang w:val="uk-UA"/>
              </w:rPr>
              <w:t>00,0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300,0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300,0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3060"/>
        </w:trPr>
        <w:tc>
          <w:tcPr>
            <w:tcW w:w="563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2.</w:t>
            </w:r>
          </w:p>
        </w:tc>
        <w:tc>
          <w:tcPr>
            <w:tcW w:w="1698" w:type="dxa"/>
            <w:vMerge w:val="restart"/>
          </w:tcPr>
          <w:p w:rsidR="008A76D4" w:rsidRPr="00DF14CE" w:rsidRDefault="008A76D4" w:rsidP="008A76D4">
            <w:pPr>
              <w:tabs>
                <w:tab w:val="left" w:pos="1335"/>
              </w:tabs>
              <w:rPr>
                <w:color w:val="000000"/>
                <w:lang w:val="uk-UA"/>
              </w:rPr>
            </w:pPr>
            <w:r w:rsidRPr="00DF14CE">
              <w:rPr>
                <w:lang w:val="uk-UA"/>
              </w:rPr>
              <w:t>Забезпечення дотримання посадовими і службовими особами органів державної влади та органів місцевого самоврядуван</w:t>
            </w:r>
            <w:r w:rsidRPr="00DF14CE">
              <w:rPr>
                <w:lang w:val="uk-UA"/>
              </w:rPr>
              <w:lastRenderedPageBreak/>
              <w:t xml:space="preserve">ня, іншими посадовими та службовими особами вимог закону щодо </w:t>
            </w:r>
            <w:proofErr w:type="spellStart"/>
            <w:r w:rsidRPr="00DF14CE">
              <w:rPr>
                <w:lang w:val="uk-UA"/>
              </w:rPr>
              <w:t>обов’язко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вості</w:t>
            </w:r>
            <w:proofErr w:type="spellEnd"/>
            <w:r w:rsidRPr="00DF14CE">
              <w:rPr>
                <w:lang w:val="uk-UA"/>
              </w:rPr>
              <w:t xml:space="preserve"> використання державної мови під час виконання своїх посадових обов’язків, недопущення її дискримінації</w:t>
            </w:r>
          </w:p>
        </w:tc>
        <w:tc>
          <w:tcPr>
            <w:tcW w:w="2831" w:type="dxa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lastRenderedPageBreak/>
              <w:t xml:space="preserve">1. Підвищення кваліфікації всіх категорій слухачів </w:t>
            </w:r>
            <w:r>
              <w:rPr>
                <w:lang w:val="uk-UA"/>
              </w:rPr>
              <w:t>з теми</w:t>
            </w:r>
            <w:r w:rsidRPr="00DF14CE">
              <w:rPr>
                <w:lang w:val="uk-UA"/>
              </w:rPr>
              <w:t xml:space="preserve"> «Формування мовленнєвої компетентності педагога»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</w:t>
            </w:r>
            <w:r>
              <w:rPr>
                <w:lang w:val="uk-UA"/>
              </w:rPr>
              <w:t>остійно згідно з</w:t>
            </w:r>
            <w:r w:rsidRPr="00DF14CE">
              <w:rPr>
                <w:lang w:val="uk-UA"/>
              </w:rPr>
              <w:t xml:space="preserve"> графіком проведення курсів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Комунальний вищий навчальний заклад «Херсонська академія неперервної освіти» Херсонської обласної ради (за згодою)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A76D4">
            <w:pPr>
              <w:tabs>
                <w:tab w:val="left" w:pos="-11"/>
                <w:tab w:val="left" w:pos="513"/>
              </w:tabs>
              <w:rPr>
                <w:lang w:val="uk-UA"/>
              </w:rPr>
            </w:pPr>
            <w:r w:rsidRPr="00DF14CE">
              <w:rPr>
                <w:lang w:val="uk-UA"/>
              </w:rPr>
              <w:t>Охоплення відповідними заходами не менше              11 тис. осіб</w:t>
            </w:r>
          </w:p>
        </w:tc>
      </w:tr>
      <w:tr w:rsidR="008A76D4" w:rsidRPr="00DF14CE" w:rsidTr="008A76D4">
        <w:trPr>
          <w:trHeight w:val="306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tabs>
                <w:tab w:val="left" w:pos="1335"/>
              </w:tabs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620520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2. Здійснення періодичног</w:t>
            </w:r>
            <w:r>
              <w:rPr>
                <w:lang w:val="uk-UA"/>
              </w:rPr>
              <w:t xml:space="preserve">о інформування щодо відповідних </w:t>
            </w:r>
            <w:r w:rsidRPr="00DF14CE">
              <w:rPr>
                <w:lang w:val="uk-UA"/>
              </w:rPr>
              <w:t>вимог мовного законодавства</w:t>
            </w:r>
          </w:p>
        </w:tc>
        <w:tc>
          <w:tcPr>
            <w:tcW w:w="1429" w:type="dxa"/>
          </w:tcPr>
          <w:p w:rsidR="008A76D4" w:rsidRPr="00DF14CE" w:rsidRDefault="008A76D4" w:rsidP="00620520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Default="008A76D4" w:rsidP="00620520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Структурні підрозділи обласної </w:t>
            </w:r>
          </w:p>
          <w:p w:rsidR="008A76D4" w:rsidRPr="00DF14CE" w:rsidRDefault="008A76D4" w:rsidP="00415AC8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державної адміністрації, районні </w:t>
            </w:r>
            <w:r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620520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620520">
            <w:pPr>
              <w:jc w:val="center"/>
              <w:rPr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620520">
            <w:pPr>
              <w:jc w:val="center"/>
              <w:rPr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620520">
            <w:pPr>
              <w:jc w:val="center"/>
              <w:rPr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620520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620520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Охоплено </w:t>
            </w:r>
          </w:p>
          <w:p w:rsidR="008A76D4" w:rsidRPr="00DF14CE" w:rsidRDefault="008A76D4" w:rsidP="00620520">
            <w:pPr>
              <w:tabs>
                <w:tab w:val="left" w:pos="-11"/>
                <w:tab w:val="left" w:pos="513"/>
              </w:tabs>
              <w:rPr>
                <w:lang w:val="uk-UA"/>
              </w:rPr>
            </w:pPr>
            <w:r w:rsidRPr="00DF14CE">
              <w:rPr>
                <w:lang w:val="uk-UA"/>
              </w:rPr>
              <w:t>5 тис. осіб</w:t>
            </w:r>
          </w:p>
        </w:tc>
      </w:tr>
      <w:tr w:rsidR="008A76D4" w:rsidRPr="00CC2FCF" w:rsidTr="00491A6F">
        <w:trPr>
          <w:trHeight w:val="3864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tabs>
                <w:tab w:val="left" w:pos="1335"/>
              </w:tabs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Default="008A76D4" w:rsidP="008C05C5">
            <w:pPr>
              <w:jc w:val="both"/>
              <w:rPr>
                <w:lang w:val="uk-UA"/>
              </w:rPr>
            </w:pPr>
            <w:r w:rsidRPr="00DF14CE">
              <w:rPr>
                <w:color w:val="000000"/>
                <w:lang w:val="uk-UA"/>
              </w:rPr>
              <w:t>3. </w:t>
            </w:r>
            <w:r w:rsidRPr="00DF14CE">
              <w:rPr>
                <w:lang w:val="uk-UA"/>
              </w:rPr>
              <w:t>Здійснення контролю за дотриманням вимог законодавства щодо функціонування державної мови при веденні діловодства та при виконан</w:t>
            </w:r>
            <w:r>
              <w:rPr>
                <w:lang w:val="uk-UA"/>
              </w:rPr>
              <w:t>н</w:t>
            </w:r>
            <w:r w:rsidRPr="00DF14CE">
              <w:rPr>
                <w:lang w:val="uk-UA"/>
              </w:rPr>
              <w:t xml:space="preserve">і посадових обов’язків працівниками </w:t>
            </w:r>
            <w:r>
              <w:rPr>
                <w:lang w:val="uk-UA"/>
              </w:rPr>
              <w:t xml:space="preserve">органів державної влади та органів </w:t>
            </w:r>
            <w:r w:rsidRPr="00DF14CE">
              <w:rPr>
                <w:lang w:val="uk-UA"/>
              </w:rPr>
              <w:t>місцевого самоврядування, комунальних підприємств, установ та організацій</w:t>
            </w:r>
          </w:p>
          <w:p w:rsidR="008A76D4" w:rsidRPr="00DF14CE" w:rsidRDefault="008A76D4" w:rsidP="008C05C5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8A76D4" w:rsidRPr="00DF14CE" w:rsidRDefault="008A76D4" w:rsidP="008C05C5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Постійно</w:t>
            </w:r>
          </w:p>
        </w:tc>
        <w:tc>
          <w:tcPr>
            <w:tcW w:w="2126" w:type="dxa"/>
          </w:tcPr>
          <w:p w:rsidR="008A76D4" w:rsidRPr="00DF14CE" w:rsidRDefault="008A76D4" w:rsidP="008C05C5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Структурні підрозділи обласної державної адміністрації, районні </w:t>
            </w:r>
            <w:r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C05C5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C05C5">
            <w:pPr>
              <w:jc w:val="center"/>
              <w:rPr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C05C5">
            <w:pPr>
              <w:jc w:val="center"/>
              <w:rPr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C05C5">
            <w:pPr>
              <w:jc w:val="center"/>
              <w:rPr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C05C5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C05C5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Забезпечено </w:t>
            </w:r>
            <w:r>
              <w:rPr>
                <w:lang w:val="uk-UA"/>
              </w:rPr>
              <w:t>дотримання</w:t>
            </w:r>
            <w:r w:rsidRPr="00DF14CE">
              <w:rPr>
                <w:lang w:val="uk-UA"/>
              </w:rPr>
              <w:t xml:space="preserve"> вимог законодавства щодо </w:t>
            </w:r>
            <w:proofErr w:type="spellStart"/>
            <w:r w:rsidRPr="00DF14CE">
              <w:rPr>
                <w:lang w:val="uk-UA"/>
              </w:rPr>
              <w:t>функціонуван-ня</w:t>
            </w:r>
            <w:proofErr w:type="spellEnd"/>
            <w:r w:rsidRPr="00DF14CE">
              <w:rPr>
                <w:lang w:val="uk-UA"/>
              </w:rPr>
              <w:t xml:space="preserve"> державної мови</w:t>
            </w:r>
          </w:p>
        </w:tc>
      </w:tr>
      <w:tr w:rsidR="008A76D4" w:rsidRPr="00DF14CE" w:rsidTr="008A76D4">
        <w:trPr>
          <w:trHeight w:val="366"/>
        </w:trPr>
        <w:tc>
          <w:tcPr>
            <w:tcW w:w="563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Всього за напрямом 2: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-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-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3. </w:t>
            </w:r>
          </w:p>
        </w:tc>
        <w:tc>
          <w:tcPr>
            <w:tcW w:w="1698" w:type="dxa"/>
            <w:vMerge w:val="restart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Мотивування населення області до вивчення, навчання та спілкування </w:t>
            </w:r>
            <w:r w:rsidRPr="00DF14CE">
              <w:rPr>
                <w:lang w:val="uk-UA"/>
              </w:rPr>
              <w:lastRenderedPageBreak/>
              <w:t xml:space="preserve">українською мовою, </w:t>
            </w:r>
            <w:proofErr w:type="spellStart"/>
            <w:r w:rsidRPr="00DF14CE">
              <w:rPr>
                <w:lang w:val="uk-UA"/>
              </w:rPr>
              <w:t>запроваджен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ня</w:t>
            </w:r>
            <w:proofErr w:type="spellEnd"/>
            <w:r w:rsidRPr="00DF14CE">
              <w:rPr>
                <w:lang w:val="uk-UA"/>
              </w:rPr>
              <w:t xml:space="preserve"> та реалізації відповідних </w:t>
            </w:r>
            <w:proofErr w:type="spellStart"/>
            <w:r w:rsidRPr="00DF14CE">
              <w:rPr>
                <w:lang w:val="uk-UA"/>
              </w:rPr>
              <w:t>проєктів</w:t>
            </w:r>
            <w:proofErr w:type="spellEnd"/>
          </w:p>
        </w:tc>
        <w:tc>
          <w:tcPr>
            <w:tcW w:w="2831" w:type="dxa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lastRenderedPageBreak/>
              <w:t xml:space="preserve">1. Відкриття курсів щодо вивчення української мови для внутрішньо переміщених осіб різних вікових категорій 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Лютий </w:t>
            </w:r>
            <w:r>
              <w:rPr>
                <w:lang w:val="uk-UA"/>
              </w:rPr>
              <w:t>(</w:t>
            </w:r>
            <w:r w:rsidRPr="00DF14CE">
              <w:rPr>
                <w:lang w:val="uk-UA"/>
              </w:rPr>
              <w:t>щороку</w:t>
            </w:r>
            <w:r>
              <w:rPr>
                <w:lang w:val="uk-UA"/>
              </w:rPr>
              <w:t>)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Комунальний вищий навчальний заклад «Херсонська академія </w:t>
            </w:r>
            <w:r w:rsidRPr="00DF14CE">
              <w:rPr>
                <w:lang w:val="uk-UA"/>
              </w:rPr>
              <w:lastRenderedPageBreak/>
              <w:t>неперервної освіти» Херсонської обласної ради (за згодою)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Default="008A76D4" w:rsidP="008A76D4">
            <w:pPr>
              <w:rPr>
                <w:lang w:val="uk-UA"/>
              </w:rPr>
            </w:pPr>
            <w:r>
              <w:rPr>
                <w:lang w:val="uk-UA"/>
              </w:rPr>
              <w:t>Охоплення</w:t>
            </w:r>
            <w:r w:rsidRPr="00DF14CE">
              <w:rPr>
                <w:lang w:val="uk-UA"/>
              </w:rPr>
              <w:t xml:space="preserve"> </w:t>
            </w:r>
            <w:r>
              <w:rPr>
                <w:lang w:val="uk-UA"/>
              </w:rPr>
              <w:t>мовними курсами </w:t>
            </w:r>
            <w:r w:rsidRPr="00DF14CE">
              <w:rPr>
                <w:lang w:val="uk-UA"/>
              </w:rPr>
              <w:t xml:space="preserve">не менше </w:t>
            </w:r>
          </w:p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300 осіб</w:t>
            </w: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Default="008A76D4" w:rsidP="008A76D4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  <w:r w:rsidRPr="00DF14CE">
              <w:rPr>
                <w:color w:val="000000"/>
              </w:rPr>
              <w:t>2. Проведення національно-патріотичних, культурно-мистецьких, інформаційних, соціокультурних та просвітницьких заходів, які сприятимуть популяризації української мови, підвищенню престижу її використання, формуванню національної ідентичності через українську мову</w:t>
            </w:r>
          </w:p>
          <w:p w:rsidR="008A76D4" w:rsidRPr="00DF14CE" w:rsidRDefault="008A76D4" w:rsidP="008A76D4">
            <w:pPr>
              <w:pStyle w:val="docdata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429" w:type="dxa"/>
          </w:tcPr>
          <w:p w:rsidR="008A76D4" w:rsidRPr="00DF14CE" w:rsidRDefault="008A76D4" w:rsidP="008A76D4">
            <w:pPr>
              <w:ind w:left="-79"/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color w:val="000000"/>
                <w:lang w:val="uk-UA"/>
              </w:rPr>
              <w:t>Управління освіти і науки обласної державної адміністрації</w:t>
            </w:r>
            <w:r w:rsidRPr="00DF14CE">
              <w:rPr>
                <w:lang w:val="uk-UA"/>
              </w:rPr>
              <w:t xml:space="preserve">, Департамент реалізації гуманітарної політики обласної державної адміністрації, районні </w:t>
            </w:r>
            <w:r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A76D4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Охоплення відповідними заходами </w:t>
            </w:r>
            <w:r w:rsidRPr="00DF14CE">
              <w:rPr>
                <w:color w:val="000000"/>
              </w:rPr>
              <w:t>не менше              80 тис. осіб</w:t>
            </w:r>
          </w:p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3. Організація та проведення Міжнародного мовно-літературного конкурсу учнівської та студентської молоді імені Тараса Шевченка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  <w:r w:rsidRPr="00DF14CE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DF14CE">
              <w:rPr>
                <w:lang w:val="uk-UA"/>
              </w:rPr>
              <w:t>щороку</w:t>
            </w:r>
            <w:r>
              <w:rPr>
                <w:lang w:val="uk-UA"/>
              </w:rPr>
              <w:t>)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Управління освіти і науки обласної державної адміністрації, комунальний вищий навчальний заклад «Херсонська академія неперервної </w:t>
            </w:r>
            <w:r w:rsidRPr="00DF14CE">
              <w:rPr>
                <w:lang w:val="uk-UA"/>
              </w:rPr>
              <w:lastRenderedPageBreak/>
              <w:t xml:space="preserve">освіти» Херсонської обласної ради (за згодою), районні </w:t>
            </w:r>
            <w:r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>
              <w:rPr>
                <w:lang w:val="uk-UA"/>
              </w:rPr>
              <w:t>Охоплення відповідними заходами </w:t>
            </w:r>
            <w:r w:rsidRPr="00DF14CE">
              <w:rPr>
                <w:lang w:val="uk-UA"/>
              </w:rPr>
              <w:t>не менше 2 тис</w:t>
            </w:r>
            <w:r>
              <w:rPr>
                <w:lang w:val="uk-UA"/>
              </w:rPr>
              <w:t>.</w:t>
            </w:r>
            <w:r w:rsidRPr="00DF14CE">
              <w:rPr>
                <w:lang w:val="uk-UA"/>
              </w:rPr>
              <w:t xml:space="preserve"> здобувачів освіти</w:t>
            </w: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4. Організація та проведення Міжнародного конкурсу з української мови імені Петра Яцика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  <w:r w:rsidRPr="00DF14CE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Pr="00DF14CE">
              <w:rPr>
                <w:lang w:val="uk-UA"/>
              </w:rPr>
              <w:t>щороку</w:t>
            </w:r>
            <w:r>
              <w:rPr>
                <w:lang w:val="uk-UA"/>
              </w:rPr>
              <w:t>)</w:t>
            </w:r>
          </w:p>
        </w:tc>
        <w:tc>
          <w:tcPr>
            <w:tcW w:w="2126" w:type="dxa"/>
          </w:tcPr>
          <w:p w:rsidR="008A76D4" w:rsidRPr="00DF14CE" w:rsidRDefault="008A76D4" w:rsidP="00415AC8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Управління освіти і науки обласної державної адміністрації, комунальний вищий навчальний заклад «Херсонська академія неперервної освіти» Херсонської обласної ради (за згодою), районні </w:t>
            </w:r>
            <w:r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>
              <w:rPr>
                <w:lang w:val="uk-UA"/>
              </w:rPr>
              <w:t>Охоплення відповідними заходами не менше 8 тис.</w:t>
            </w:r>
            <w:r w:rsidRPr="00DF14CE">
              <w:rPr>
                <w:lang w:val="uk-UA"/>
              </w:rPr>
              <w:t xml:space="preserve"> здобувачів освіти</w:t>
            </w: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 xml:space="preserve">5. Проведення мовно-виховних заходів у </w:t>
            </w:r>
            <w:r w:rsidRPr="00DF14CE">
              <w:rPr>
                <w:lang w:val="uk-UA"/>
              </w:rPr>
              <w:lastRenderedPageBreak/>
              <w:t>закладах загальної середньої освіти (свята рідної мови, дитячі ранки, виховні години, конкурси знавц</w:t>
            </w:r>
            <w:r>
              <w:rPr>
                <w:lang w:val="uk-UA"/>
              </w:rPr>
              <w:t>ів української мови, вікторини</w:t>
            </w:r>
            <w:r w:rsidRPr="00DF14CE">
              <w:rPr>
                <w:lang w:val="uk-UA"/>
              </w:rPr>
              <w:t xml:space="preserve"> тощо)</w:t>
            </w:r>
          </w:p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Районні </w:t>
            </w:r>
            <w:r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</w:t>
            </w:r>
            <w:r w:rsidRPr="00DF14CE">
              <w:rPr>
                <w:lang w:val="uk-UA"/>
              </w:rPr>
              <w:lastRenderedPageBreak/>
              <w:t>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Default="008A76D4" w:rsidP="008A76D4">
            <w:pPr>
              <w:rPr>
                <w:lang w:val="uk-UA"/>
              </w:rPr>
            </w:pPr>
            <w:r>
              <w:rPr>
                <w:lang w:val="uk-UA"/>
              </w:rPr>
              <w:t xml:space="preserve">Охоплення відповідними </w:t>
            </w:r>
            <w:r>
              <w:rPr>
                <w:lang w:val="uk-UA"/>
              </w:rPr>
              <w:lastRenderedPageBreak/>
              <w:t>заходами </w:t>
            </w:r>
            <w:r w:rsidRPr="00DF14CE">
              <w:rPr>
                <w:lang w:val="uk-UA"/>
              </w:rPr>
              <w:t xml:space="preserve">не менше </w:t>
            </w:r>
          </w:p>
          <w:p w:rsidR="008A76D4" w:rsidRPr="00DF14CE" w:rsidRDefault="008A76D4" w:rsidP="008A76D4">
            <w:pPr>
              <w:rPr>
                <w:lang w:val="uk-UA"/>
              </w:rPr>
            </w:pPr>
            <w:r>
              <w:rPr>
                <w:lang w:val="uk-UA"/>
              </w:rPr>
              <w:t>80 тис.</w:t>
            </w:r>
            <w:r w:rsidRPr="00DF14CE">
              <w:rPr>
                <w:lang w:val="uk-UA"/>
              </w:rPr>
              <w:t xml:space="preserve"> осіб</w:t>
            </w: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6. Проведення заходів з популяризації читання населення області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Департамент реалізації гуманітарної політики обласної державної адміністрації, районні </w:t>
            </w:r>
            <w:r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  <w:proofErr w:type="spellStart"/>
            <w:r w:rsidRPr="00DF14CE">
              <w:rPr>
                <w:lang w:val="uk-UA"/>
              </w:rPr>
              <w:t>Облас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ний</w:t>
            </w:r>
            <w:proofErr w:type="spellEnd"/>
            <w:r w:rsidRPr="00DF14CE">
              <w:rPr>
                <w:lang w:val="uk-UA"/>
              </w:rPr>
              <w:t xml:space="preserve"> бюджет 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600,0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200,0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200,0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200,0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Охоплено заходами понад              6 тис. осіб </w:t>
            </w: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  <w:vMerge w:val="restart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Всього за напрямом 3: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Всього,</w:t>
            </w:r>
          </w:p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у т.ч.: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600,0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200,0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  <w:vMerge/>
          </w:tcPr>
          <w:p w:rsidR="008A76D4" w:rsidRPr="00DF14CE" w:rsidRDefault="008A76D4" w:rsidP="008A76D4">
            <w:pPr>
              <w:jc w:val="both"/>
              <w:rPr>
                <w:b/>
                <w:color w:val="000000"/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proofErr w:type="spellStart"/>
            <w:r w:rsidRPr="00DF14CE">
              <w:rPr>
                <w:b/>
                <w:lang w:val="uk-UA"/>
              </w:rPr>
              <w:t>Облас</w:t>
            </w:r>
            <w:r>
              <w:rPr>
                <w:b/>
                <w:lang w:val="uk-UA"/>
              </w:rPr>
              <w:t>-</w:t>
            </w:r>
            <w:r w:rsidRPr="00DF14CE">
              <w:rPr>
                <w:b/>
                <w:lang w:val="uk-UA"/>
              </w:rPr>
              <w:t>ний</w:t>
            </w:r>
            <w:proofErr w:type="spellEnd"/>
            <w:r w:rsidRPr="00DF14CE">
              <w:rPr>
                <w:b/>
                <w:lang w:val="uk-UA"/>
              </w:rPr>
              <w:t xml:space="preserve"> бюджет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600,0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200,0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200,0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2484"/>
        </w:trPr>
        <w:tc>
          <w:tcPr>
            <w:tcW w:w="563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lastRenderedPageBreak/>
              <w:t>4.</w:t>
            </w:r>
          </w:p>
        </w:tc>
        <w:tc>
          <w:tcPr>
            <w:tcW w:w="1698" w:type="dxa"/>
            <w:vMerge w:val="restart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Розроблення та відкриття мережі  курсів з вивчення української мови</w:t>
            </w:r>
            <w:r>
              <w:rPr>
                <w:lang w:val="uk-UA"/>
              </w:rPr>
              <w:t xml:space="preserve">, зокрема  дистанційних та онлайн-курсів, </w:t>
            </w:r>
            <w:r w:rsidRPr="00DF14CE">
              <w:rPr>
                <w:lang w:val="uk-UA"/>
              </w:rPr>
              <w:t>для різних категорій осіб, у тому числі на безоплатній основі, здійснення інших заходів щодо сприяння опануванню державної мови</w:t>
            </w:r>
          </w:p>
        </w:tc>
        <w:tc>
          <w:tcPr>
            <w:tcW w:w="2831" w:type="dxa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1. Забезпечення доступу до безкоштовних онлайн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курсів у бібліотеках та клубних закладах територіальних громад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Департамент реалізації гуманітарної політики обласної державної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Кількість охоплених осіб – понад</w:t>
            </w:r>
          </w:p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2 тис. </w:t>
            </w: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F72122" w:rsidP="008A76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A76D4" w:rsidRPr="00DF14CE">
              <w:rPr>
                <w:lang w:val="uk-UA"/>
              </w:rPr>
              <w:t>. Продовження діяльності розмовного клубу «</w:t>
            </w:r>
            <w:proofErr w:type="spellStart"/>
            <w:r w:rsidR="008A76D4" w:rsidRPr="00DF14CE">
              <w:rPr>
                <w:lang w:val="uk-UA"/>
              </w:rPr>
              <w:t>Дивослово</w:t>
            </w:r>
            <w:proofErr w:type="spellEnd"/>
            <w:r w:rsidR="008A76D4" w:rsidRPr="00DF14CE">
              <w:rPr>
                <w:lang w:val="uk-UA"/>
              </w:rPr>
              <w:t>», реалізація проєкту «Курси української мови для державних службовців»</w:t>
            </w:r>
            <w:r w:rsidR="008A76D4">
              <w:rPr>
                <w:lang w:val="uk-UA"/>
              </w:rPr>
              <w:t>, розроблення модуля</w:t>
            </w:r>
            <w:r w:rsidR="008A76D4" w:rsidRPr="00DF14CE">
              <w:rPr>
                <w:lang w:val="uk-UA"/>
              </w:rPr>
              <w:t xml:space="preserve"> в рамках підвищення кваліфікації вчителів «Українська мова – жива»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Департамент реалізації гуманітарної політики обласної державної адміністрації, комунальний заклад «Херсонська обласна універсальна наукова бібліотека ім.</w:t>
            </w:r>
            <w:r>
              <w:rPr>
                <w:lang w:val="uk-UA"/>
              </w:rPr>
              <w:t> </w:t>
            </w:r>
            <w:r w:rsidRPr="00DF14CE">
              <w:rPr>
                <w:lang w:val="uk-UA"/>
              </w:rPr>
              <w:t>О.Гончара» Херсонської обласної ради (за згодою)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  <w:proofErr w:type="spellStart"/>
            <w:r w:rsidRPr="00DF14CE">
              <w:rPr>
                <w:lang w:val="uk-UA"/>
              </w:rPr>
              <w:t>Облас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ний</w:t>
            </w:r>
            <w:proofErr w:type="spellEnd"/>
            <w:r w:rsidRPr="00DF14CE">
              <w:rPr>
                <w:lang w:val="uk-UA"/>
              </w:rPr>
              <w:t xml:space="preserve"> бюджет </w:t>
            </w:r>
          </w:p>
        </w:tc>
        <w:tc>
          <w:tcPr>
            <w:tcW w:w="1106" w:type="dxa"/>
          </w:tcPr>
          <w:p w:rsidR="008A76D4" w:rsidRPr="00DF14CE" w:rsidRDefault="00667EE2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700</w:t>
            </w:r>
            <w:r w:rsidR="008A76D4" w:rsidRPr="00DF14CE">
              <w:rPr>
                <w:color w:val="000000"/>
                <w:lang w:val="uk-UA"/>
              </w:rPr>
              <w:t>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350,0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350,0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Кількість охоплених осіб – близько 18 тис.</w:t>
            </w: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  <w:vMerge w:val="restart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Всього за напрямом 4: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Всього,</w:t>
            </w:r>
          </w:p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у т.ч.:</w:t>
            </w:r>
          </w:p>
        </w:tc>
        <w:tc>
          <w:tcPr>
            <w:tcW w:w="1106" w:type="dxa"/>
          </w:tcPr>
          <w:p w:rsidR="008A76D4" w:rsidRPr="00DF14CE" w:rsidRDefault="00667EE2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700</w:t>
            </w:r>
            <w:r w:rsidR="008A76D4" w:rsidRPr="00DF14CE">
              <w:rPr>
                <w:b/>
                <w:color w:val="000000"/>
                <w:lang w:val="uk-UA"/>
              </w:rPr>
              <w:t>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350,0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350,0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  <w:vMerge/>
          </w:tcPr>
          <w:p w:rsidR="008A76D4" w:rsidRPr="00DF14CE" w:rsidRDefault="008A76D4" w:rsidP="008A76D4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proofErr w:type="spellStart"/>
            <w:r w:rsidRPr="00DF14CE">
              <w:rPr>
                <w:b/>
                <w:lang w:val="uk-UA"/>
              </w:rPr>
              <w:t>Облас</w:t>
            </w:r>
            <w:r>
              <w:rPr>
                <w:b/>
                <w:lang w:val="uk-UA"/>
              </w:rPr>
              <w:t>-</w:t>
            </w:r>
            <w:r w:rsidRPr="00DF14CE">
              <w:rPr>
                <w:b/>
                <w:lang w:val="uk-UA"/>
              </w:rPr>
              <w:t>ний</w:t>
            </w:r>
            <w:proofErr w:type="spellEnd"/>
            <w:r w:rsidRPr="00DF14CE">
              <w:rPr>
                <w:b/>
                <w:lang w:val="uk-UA"/>
              </w:rPr>
              <w:t xml:space="preserve"> бюджет</w:t>
            </w:r>
          </w:p>
        </w:tc>
        <w:tc>
          <w:tcPr>
            <w:tcW w:w="1106" w:type="dxa"/>
          </w:tcPr>
          <w:p w:rsidR="008A76D4" w:rsidRPr="00DF14CE" w:rsidRDefault="00667EE2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700</w:t>
            </w:r>
            <w:r w:rsidR="008A76D4" w:rsidRPr="00DF14CE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350,0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350,0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5.</w:t>
            </w:r>
          </w:p>
        </w:tc>
        <w:tc>
          <w:tcPr>
            <w:tcW w:w="1698" w:type="dxa"/>
            <w:vMerge w:val="restart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Покращення якості </w:t>
            </w:r>
            <w:r w:rsidRPr="00DF14CE">
              <w:rPr>
                <w:lang w:val="uk-UA"/>
              </w:rPr>
              <w:lastRenderedPageBreak/>
              <w:t>викладання державної мови в закладах освіти</w:t>
            </w:r>
          </w:p>
        </w:tc>
        <w:tc>
          <w:tcPr>
            <w:tcW w:w="2831" w:type="dxa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1. </w:t>
            </w:r>
            <w:r w:rsidRPr="00DF14CE">
              <w:rPr>
                <w:lang w:val="uk-UA"/>
              </w:rPr>
              <w:t xml:space="preserve">Створення </w:t>
            </w:r>
            <w:r>
              <w:rPr>
                <w:lang w:val="uk-UA"/>
              </w:rPr>
              <w:t xml:space="preserve">та підтримка ресурсу для </w:t>
            </w:r>
            <w:r>
              <w:rPr>
                <w:lang w:val="uk-UA"/>
              </w:rPr>
              <w:lastRenderedPageBreak/>
              <w:t>онлайн-</w:t>
            </w:r>
            <w:r w:rsidRPr="00DF14CE">
              <w:rPr>
                <w:lang w:val="uk-UA"/>
              </w:rPr>
              <w:t>спілкування професійної спільноти вчителів української мови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lastRenderedPageBreak/>
              <w:t>2023 рік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Комунальний вищий </w:t>
            </w:r>
            <w:r w:rsidRPr="00DF14CE">
              <w:rPr>
                <w:lang w:val="uk-UA"/>
              </w:rPr>
              <w:lastRenderedPageBreak/>
              <w:t>навчальний заклад «Херсонська академія неперервної освіти» Херсонської обласної ради (за згодою)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Створення                </w:t>
            </w:r>
            <w:r>
              <w:rPr>
                <w:lang w:val="uk-UA"/>
              </w:rPr>
              <w:t>одного</w:t>
            </w:r>
            <w:r w:rsidRPr="00DF14CE">
              <w:rPr>
                <w:lang w:val="uk-UA"/>
              </w:rPr>
              <w:t xml:space="preserve"> </w:t>
            </w:r>
            <w:r w:rsidRPr="00DF14CE">
              <w:rPr>
                <w:lang w:val="uk-UA"/>
              </w:rPr>
              <w:lastRenderedPageBreak/>
              <w:t xml:space="preserve">ресурсу для </w:t>
            </w:r>
          </w:p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4 тис. </w:t>
            </w:r>
            <w:proofErr w:type="spellStart"/>
            <w:r w:rsidRPr="00DF14CE">
              <w:rPr>
                <w:lang w:val="uk-UA"/>
              </w:rPr>
              <w:t>користу-вачів</w:t>
            </w:r>
            <w:proofErr w:type="spellEnd"/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2. </w:t>
            </w:r>
            <w:r w:rsidRPr="00DF14CE">
              <w:rPr>
                <w:lang w:val="uk-UA"/>
              </w:rPr>
              <w:t>Проведення майстер-класів, педагогічних студій для вчителів з питань викладання української мови як державної та з викладання навчальних предметів українською мовою</w:t>
            </w:r>
          </w:p>
        </w:tc>
        <w:tc>
          <w:tcPr>
            <w:tcW w:w="1429" w:type="dxa"/>
          </w:tcPr>
          <w:p w:rsidR="008A76D4" w:rsidRPr="00E912EA" w:rsidRDefault="008A76D4" w:rsidP="008A76D4">
            <w:pPr>
              <w:jc w:val="center"/>
              <w:rPr>
                <w:lang w:val="uk-UA"/>
              </w:rPr>
            </w:pPr>
            <w:r w:rsidRPr="00E912E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Комунальний вищий навчальний заклад «Херсонська академія неперервної освіти» Херсонської обласної ради (за згодою)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Охоплення відповідними заходами не менше                       4 тис. осіб</w:t>
            </w: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</w:tcPr>
          <w:p w:rsidR="008A76D4" w:rsidRPr="00DF14CE" w:rsidRDefault="008A76D4" w:rsidP="008A76D4">
            <w:pPr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Всього за напрямом 5: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-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-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639"/>
        </w:trPr>
        <w:tc>
          <w:tcPr>
            <w:tcW w:w="563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6.</w:t>
            </w:r>
          </w:p>
        </w:tc>
        <w:tc>
          <w:tcPr>
            <w:tcW w:w="1698" w:type="dxa"/>
            <w:vMerge w:val="restart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Формування цілісного національного інформацій</w:t>
            </w:r>
            <w:r>
              <w:rPr>
                <w:lang w:val="uk-UA"/>
              </w:rPr>
              <w:t>-но-культурного</w:t>
            </w:r>
            <w:r w:rsidRPr="00DF14CE">
              <w:rPr>
                <w:lang w:val="uk-UA"/>
              </w:rPr>
              <w:t xml:space="preserve"> простору</w:t>
            </w:r>
          </w:p>
        </w:tc>
        <w:tc>
          <w:tcPr>
            <w:tcW w:w="2831" w:type="dxa"/>
            <w:vMerge w:val="restart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1. Поповнення фондів бібліотек кращими творами національної та світової художньої літератури, довідковими, науково-популярними виданнями з різних галузей знань, виданих українською мовою</w:t>
            </w:r>
          </w:p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Департамент реалізації гуманітарної політики обласної державної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Всього, у т.ч.: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</w:t>
            </w:r>
            <w:r w:rsidRPr="00DF14CE">
              <w:rPr>
                <w:color w:val="000000"/>
                <w:lang w:val="uk-UA"/>
              </w:rPr>
              <w:t>0,0</w:t>
            </w:r>
          </w:p>
        </w:tc>
        <w:tc>
          <w:tcPr>
            <w:tcW w:w="1162" w:type="dxa"/>
            <w:gridSpan w:val="2"/>
          </w:tcPr>
          <w:p w:rsidR="008A76D4" w:rsidRPr="00DF14CE" w:rsidRDefault="00F72122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8A76D4" w:rsidRPr="00DF14CE">
              <w:rPr>
                <w:color w:val="000000"/>
                <w:lang w:val="uk-UA"/>
              </w:rPr>
              <w:t>00,0</w:t>
            </w:r>
          </w:p>
        </w:tc>
        <w:tc>
          <w:tcPr>
            <w:tcW w:w="1084" w:type="dxa"/>
          </w:tcPr>
          <w:p w:rsidR="008A76D4" w:rsidRPr="00DF14CE" w:rsidRDefault="00F72122" w:rsidP="008A76D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r w:rsidR="008A76D4" w:rsidRPr="00DF14CE">
              <w:rPr>
                <w:color w:val="000000"/>
                <w:lang w:val="uk-UA"/>
              </w:rPr>
              <w:t>00,0</w:t>
            </w:r>
          </w:p>
        </w:tc>
        <w:tc>
          <w:tcPr>
            <w:tcW w:w="1125" w:type="dxa"/>
          </w:tcPr>
          <w:p w:rsidR="008A76D4" w:rsidRPr="00DF14CE" w:rsidRDefault="00F72122" w:rsidP="008A7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A76D4" w:rsidRPr="00DF14CE">
              <w:rPr>
                <w:lang w:val="uk-UA"/>
              </w:rPr>
              <w:t>00,0</w:t>
            </w:r>
          </w:p>
        </w:tc>
        <w:tc>
          <w:tcPr>
            <w:tcW w:w="1774" w:type="dxa"/>
            <w:vMerge w:val="restart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Поповнено фонди бібліотек виданнями українською мовою</w:t>
            </w:r>
          </w:p>
        </w:tc>
      </w:tr>
      <w:tr w:rsidR="008A76D4" w:rsidRPr="00DF14CE" w:rsidTr="008A76D4">
        <w:trPr>
          <w:trHeight w:val="48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2831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  <w:proofErr w:type="spellStart"/>
            <w:r w:rsidRPr="00DF14CE">
              <w:rPr>
                <w:lang w:val="uk-UA"/>
              </w:rPr>
              <w:t>Облас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ний</w:t>
            </w:r>
            <w:proofErr w:type="spellEnd"/>
            <w:r w:rsidRPr="00DF14CE">
              <w:rPr>
                <w:lang w:val="uk-UA"/>
              </w:rPr>
              <w:t xml:space="preserve"> бюджет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900,0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300,0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300,0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300,0</w:t>
            </w:r>
          </w:p>
        </w:tc>
        <w:tc>
          <w:tcPr>
            <w:tcW w:w="1774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135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2831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Інші місцеві бюджети  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1774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 xml:space="preserve">2. Створення в бібліотеках, музеях </w:t>
            </w:r>
            <w:r w:rsidRPr="00DF14CE">
              <w:rPr>
                <w:lang w:val="uk-UA"/>
              </w:rPr>
              <w:lastRenderedPageBreak/>
              <w:t>області постійно діючих книжкових виставок, тематичних стендів, переглядів літератури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lastRenderedPageBreak/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Департамент реалізації </w:t>
            </w:r>
            <w:r w:rsidRPr="00DF14CE">
              <w:rPr>
                <w:lang w:val="uk-UA"/>
              </w:rPr>
              <w:lastRenderedPageBreak/>
              <w:t>гуманітарної політики обласної державної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>
              <w:rPr>
                <w:lang w:val="uk-UA"/>
              </w:rPr>
              <w:t xml:space="preserve">Створено в кожному </w:t>
            </w:r>
            <w:r>
              <w:rPr>
                <w:lang w:val="uk-UA"/>
              </w:rPr>
              <w:lastRenderedPageBreak/>
              <w:t xml:space="preserve">закладі </w:t>
            </w:r>
            <w:r w:rsidRPr="00DF14CE">
              <w:rPr>
                <w:lang w:val="uk-UA"/>
              </w:rPr>
              <w:t>відповідні книжкові виставки, стенди тощо</w:t>
            </w: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E912EA" w:rsidRDefault="008A76D4" w:rsidP="008A76D4">
            <w:pPr>
              <w:jc w:val="both"/>
              <w:rPr>
                <w:lang w:val="uk-UA"/>
              </w:rPr>
            </w:pPr>
            <w:r w:rsidRPr="00E912EA">
              <w:rPr>
                <w:lang w:val="uk-UA"/>
              </w:rPr>
              <w:t xml:space="preserve">3. Поширення тематичних матеріалів, здійснення інформаційного супроводу проведених заходів на офіційному </w:t>
            </w:r>
            <w:proofErr w:type="spellStart"/>
            <w:r w:rsidRPr="00E912EA">
              <w:rPr>
                <w:lang w:val="uk-UA"/>
              </w:rPr>
              <w:t>вебсайті</w:t>
            </w:r>
            <w:proofErr w:type="spellEnd"/>
            <w:r w:rsidRPr="00E912EA">
              <w:rPr>
                <w:lang w:val="uk-UA"/>
              </w:rPr>
              <w:t xml:space="preserve"> Херсонської обласної державної адміністрації, районних державних (військових) адміністрацій, військових адміністрацій населених пунктів та в соціальних мережах і в засобах масової інформації області</w:t>
            </w:r>
          </w:p>
          <w:p w:rsidR="008A76D4" w:rsidRPr="00E912EA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1429" w:type="dxa"/>
          </w:tcPr>
          <w:p w:rsidR="008A76D4" w:rsidRPr="00E912EA" w:rsidRDefault="008A76D4" w:rsidP="008A76D4">
            <w:pPr>
              <w:jc w:val="center"/>
              <w:rPr>
                <w:lang w:val="uk-UA"/>
              </w:rPr>
            </w:pPr>
            <w:r w:rsidRPr="00E912EA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Pr="00E912EA" w:rsidRDefault="008A76D4" w:rsidP="008A76D4">
            <w:pPr>
              <w:jc w:val="center"/>
              <w:rPr>
                <w:lang w:val="uk-UA"/>
              </w:rPr>
            </w:pPr>
            <w:r w:rsidRPr="00E912EA">
              <w:rPr>
                <w:lang w:val="uk-UA"/>
              </w:rPr>
              <w:t>Управління внутрішньої та інформаційної політики апарату обласної державної адміністрації, районні державні (військові) адміністрації, військові адміністрації населених пунктів</w:t>
            </w:r>
          </w:p>
          <w:p w:rsidR="008A76D4" w:rsidRPr="00E912EA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Поширено відповідні тематичні матеріали, забезпечено інформаційний супровід</w:t>
            </w:r>
          </w:p>
        </w:tc>
      </w:tr>
      <w:tr w:rsidR="008A76D4" w:rsidRPr="00667EE2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2831" w:type="dxa"/>
          </w:tcPr>
          <w:p w:rsidR="008A76D4" w:rsidRPr="00DF14CE" w:rsidRDefault="008A76D4" w:rsidP="008A76D4">
            <w:pPr>
              <w:ind w:hanging="2"/>
              <w:contextualSpacing/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4. Підтримка громадських ініціатив, спрямованих на популяризацію української мови</w:t>
            </w:r>
          </w:p>
        </w:tc>
        <w:tc>
          <w:tcPr>
            <w:tcW w:w="1429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Управління внутрішньої та інформаційної політики </w:t>
            </w:r>
            <w:r>
              <w:rPr>
                <w:lang w:val="uk-UA"/>
              </w:rPr>
              <w:t xml:space="preserve">апарату </w:t>
            </w:r>
            <w:r w:rsidRPr="00DF14CE">
              <w:rPr>
                <w:lang w:val="uk-UA"/>
              </w:rPr>
              <w:t xml:space="preserve">обласної державної адміністрації, Департамент реалізації </w:t>
            </w:r>
            <w:r w:rsidRPr="00DF14CE">
              <w:rPr>
                <w:lang w:val="uk-UA"/>
              </w:rPr>
              <w:lastRenderedPageBreak/>
              <w:t xml:space="preserve">гуманітарної політики обласної державної адміністрації, районні </w:t>
            </w:r>
            <w:r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Підвищено рівень </w:t>
            </w:r>
            <w:proofErr w:type="spellStart"/>
            <w:r w:rsidRPr="00DF14CE">
              <w:rPr>
                <w:lang w:val="uk-UA"/>
              </w:rPr>
              <w:t>інформованос-ті</w:t>
            </w:r>
            <w:proofErr w:type="spellEnd"/>
            <w:r w:rsidRPr="00DF14CE">
              <w:rPr>
                <w:lang w:val="uk-UA"/>
              </w:rPr>
              <w:t xml:space="preserve"> населення з питань </w:t>
            </w:r>
            <w:proofErr w:type="spellStart"/>
            <w:r w:rsidRPr="00DF14CE">
              <w:rPr>
                <w:lang w:val="uk-UA"/>
              </w:rPr>
              <w:t>функціонуван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ня</w:t>
            </w:r>
            <w:proofErr w:type="spellEnd"/>
            <w:r w:rsidRPr="00DF14CE">
              <w:rPr>
                <w:lang w:val="uk-UA"/>
              </w:rPr>
              <w:t xml:space="preserve"> та розвитку української мови</w:t>
            </w:r>
          </w:p>
        </w:tc>
      </w:tr>
      <w:tr w:rsidR="008A76D4" w:rsidRPr="00DF14CE" w:rsidTr="008A76D4">
        <w:trPr>
          <w:trHeight w:val="63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2831" w:type="dxa"/>
            <w:vMerge w:val="restart"/>
          </w:tcPr>
          <w:p w:rsidR="008A76D4" w:rsidRPr="00DF14CE" w:rsidRDefault="008A76D4" w:rsidP="008A76D4">
            <w:pPr>
              <w:ind w:hanging="2"/>
              <w:contextualSpacing/>
              <w:jc w:val="both"/>
              <w:rPr>
                <w:lang w:val="uk-UA"/>
              </w:rPr>
            </w:pPr>
            <w:r w:rsidRPr="00DF14CE">
              <w:rPr>
                <w:lang w:val="uk-UA"/>
              </w:rPr>
              <w:t>5. Розміщення друкованої соціальної реклами</w:t>
            </w:r>
            <w:r>
              <w:rPr>
                <w:lang w:val="uk-UA"/>
              </w:rPr>
              <w:t xml:space="preserve">, </w:t>
            </w:r>
            <w:r w:rsidRPr="00DF14CE">
              <w:rPr>
                <w:lang w:val="uk-UA"/>
              </w:rPr>
              <w:t>спрямованої на популяризацію української мови</w:t>
            </w:r>
            <w:r>
              <w:rPr>
                <w:lang w:val="uk-UA"/>
              </w:rPr>
              <w:t>,</w:t>
            </w:r>
            <w:r w:rsidRPr="00DF14CE">
              <w:rPr>
                <w:lang w:val="uk-UA"/>
              </w:rPr>
              <w:t xml:space="preserve"> на зовнішніх рекламних конструкціях, у громадському транспорті</w:t>
            </w:r>
          </w:p>
        </w:tc>
        <w:tc>
          <w:tcPr>
            <w:tcW w:w="1429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Протягом року</w:t>
            </w:r>
          </w:p>
        </w:tc>
        <w:tc>
          <w:tcPr>
            <w:tcW w:w="2126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 xml:space="preserve">Управління внутрішньої та інформаційної політики </w:t>
            </w:r>
            <w:r>
              <w:rPr>
                <w:lang w:val="uk-UA"/>
              </w:rPr>
              <w:t xml:space="preserve">апарату </w:t>
            </w:r>
            <w:r w:rsidRPr="00DF14CE">
              <w:rPr>
                <w:lang w:val="uk-UA"/>
              </w:rPr>
              <w:t xml:space="preserve">обласної державної адміністрації, Департамент реалізації гуманітарної політики обласної державної адміністрації, районні </w:t>
            </w:r>
            <w:r>
              <w:rPr>
                <w:lang w:val="uk-UA"/>
              </w:rPr>
              <w:t>державні (</w:t>
            </w:r>
            <w:r w:rsidRPr="00DF14CE">
              <w:rPr>
                <w:lang w:val="uk-UA"/>
              </w:rPr>
              <w:t>військові</w:t>
            </w:r>
            <w:r>
              <w:rPr>
                <w:lang w:val="uk-UA"/>
              </w:rPr>
              <w:t>)</w:t>
            </w:r>
            <w:r w:rsidRPr="00DF14CE">
              <w:rPr>
                <w:lang w:val="uk-UA"/>
              </w:rPr>
              <w:t xml:space="preserve"> адміністрації, військові адміністрації населених пунктів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Всього, у т.ч.:</w:t>
            </w:r>
          </w:p>
        </w:tc>
        <w:tc>
          <w:tcPr>
            <w:tcW w:w="1106" w:type="dxa"/>
          </w:tcPr>
          <w:p w:rsidR="008A76D4" w:rsidRPr="00DF14CE" w:rsidRDefault="00F72122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105</w:t>
            </w:r>
            <w:r w:rsidR="008A76D4" w:rsidRPr="00DF14CE">
              <w:rPr>
                <w:color w:val="000000"/>
                <w:lang w:val="uk-UA"/>
              </w:rPr>
              <w:t>,0</w:t>
            </w:r>
          </w:p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F72122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8A76D4" w:rsidRPr="00DF14CE">
              <w:rPr>
                <w:color w:val="000000"/>
                <w:lang w:val="uk-UA"/>
              </w:rPr>
              <w:t>5,0</w:t>
            </w:r>
          </w:p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F72122" w:rsidP="008A76D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</w:t>
            </w:r>
            <w:r w:rsidR="008A76D4" w:rsidRPr="00DF14CE">
              <w:rPr>
                <w:color w:val="000000"/>
                <w:lang w:val="uk-UA"/>
              </w:rPr>
              <w:t>5,0</w:t>
            </w:r>
          </w:p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F72122" w:rsidP="008A7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8A76D4" w:rsidRPr="00DF14CE">
              <w:rPr>
                <w:lang w:val="uk-UA"/>
              </w:rPr>
              <w:t>5,0</w:t>
            </w:r>
          </w:p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  <w:vMerge w:val="restart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Заплановано щороку:</w:t>
            </w:r>
          </w:p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виготовлення та розміщення 40 </w:t>
            </w:r>
            <w:proofErr w:type="spellStart"/>
            <w:r w:rsidRPr="00DF14CE">
              <w:rPr>
                <w:lang w:val="uk-UA"/>
              </w:rPr>
              <w:t>постерів</w:t>
            </w:r>
            <w:proofErr w:type="spellEnd"/>
            <w:r w:rsidRPr="00DF14CE">
              <w:rPr>
                <w:lang w:val="uk-UA"/>
              </w:rPr>
              <w:t xml:space="preserve">  розміром 3 м на 6 м;</w:t>
            </w:r>
          </w:p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виготовлення та розміщення 20 </w:t>
            </w:r>
            <w:proofErr w:type="spellStart"/>
            <w:r w:rsidRPr="00DF14CE">
              <w:rPr>
                <w:lang w:val="uk-UA"/>
              </w:rPr>
              <w:t>сітілайтів</w:t>
            </w:r>
            <w:proofErr w:type="spellEnd"/>
            <w:r w:rsidRPr="00DF14CE">
              <w:rPr>
                <w:lang w:val="uk-UA"/>
              </w:rPr>
              <w:t>;</w:t>
            </w:r>
          </w:p>
          <w:p w:rsidR="008A76D4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виготовлення та розміщення в громадському транспорті </w:t>
            </w:r>
          </w:p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>140 плакатів формату А3</w:t>
            </w:r>
          </w:p>
        </w:tc>
      </w:tr>
      <w:tr w:rsidR="008A76D4" w:rsidRPr="00DF14CE" w:rsidTr="008A76D4">
        <w:trPr>
          <w:trHeight w:val="69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2831" w:type="dxa"/>
            <w:vMerge/>
          </w:tcPr>
          <w:p w:rsidR="008A76D4" w:rsidRPr="00DF14CE" w:rsidRDefault="008A76D4" w:rsidP="008A76D4">
            <w:pPr>
              <w:ind w:hanging="2"/>
              <w:contextualSpacing/>
              <w:jc w:val="both"/>
              <w:rPr>
                <w:lang w:val="uk-UA"/>
              </w:rPr>
            </w:pPr>
          </w:p>
        </w:tc>
        <w:tc>
          <w:tcPr>
            <w:tcW w:w="1429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  <w:proofErr w:type="spellStart"/>
            <w:r w:rsidRPr="00DF14CE">
              <w:rPr>
                <w:lang w:val="uk-UA"/>
              </w:rPr>
              <w:t>Облас</w:t>
            </w:r>
            <w:r>
              <w:rPr>
                <w:lang w:val="uk-UA"/>
              </w:rPr>
              <w:t>-</w:t>
            </w:r>
            <w:r w:rsidRPr="00DF14CE">
              <w:rPr>
                <w:lang w:val="uk-UA"/>
              </w:rPr>
              <w:t>ний</w:t>
            </w:r>
            <w:proofErr w:type="spellEnd"/>
            <w:r w:rsidRPr="00DF14CE">
              <w:rPr>
                <w:lang w:val="uk-UA"/>
              </w:rPr>
              <w:t xml:space="preserve"> бюджет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75,0</w:t>
            </w:r>
          </w:p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25,0</w:t>
            </w:r>
          </w:p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  <w:r w:rsidRPr="00DF14CE">
              <w:rPr>
                <w:color w:val="000000"/>
                <w:lang w:val="uk-UA"/>
              </w:rPr>
              <w:t>25,0</w:t>
            </w:r>
          </w:p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 w:rsidRPr="00DF14CE">
              <w:rPr>
                <w:lang w:val="uk-UA"/>
              </w:rPr>
              <w:t>25,0</w:t>
            </w:r>
          </w:p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774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3345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1698" w:type="dxa"/>
            <w:vMerge/>
          </w:tcPr>
          <w:p w:rsidR="008A76D4" w:rsidRPr="00DF14CE" w:rsidRDefault="008A76D4" w:rsidP="008A76D4">
            <w:pPr>
              <w:jc w:val="both"/>
              <w:rPr>
                <w:lang w:val="uk-UA"/>
              </w:rPr>
            </w:pPr>
          </w:p>
        </w:tc>
        <w:tc>
          <w:tcPr>
            <w:tcW w:w="2831" w:type="dxa"/>
            <w:vMerge/>
          </w:tcPr>
          <w:p w:rsidR="008A76D4" w:rsidRPr="00DF14CE" w:rsidRDefault="008A76D4" w:rsidP="008A76D4">
            <w:pPr>
              <w:ind w:hanging="2"/>
              <w:contextualSpacing/>
              <w:jc w:val="both"/>
              <w:rPr>
                <w:lang w:val="uk-UA"/>
              </w:rPr>
            </w:pPr>
          </w:p>
        </w:tc>
        <w:tc>
          <w:tcPr>
            <w:tcW w:w="1429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lang w:val="uk-UA"/>
              </w:rPr>
              <w:t xml:space="preserve">Інші місцеві бюджети 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10,0</w:t>
            </w:r>
          </w:p>
        </w:tc>
        <w:tc>
          <w:tcPr>
            <w:tcW w:w="1774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  <w:vMerge w:val="restart"/>
          </w:tcPr>
          <w:p w:rsidR="008A76D4" w:rsidRPr="00DF14CE" w:rsidRDefault="008A76D4" w:rsidP="008A76D4">
            <w:pPr>
              <w:rPr>
                <w:lang w:val="uk-UA"/>
              </w:rPr>
            </w:pPr>
            <w:r w:rsidRPr="00DF14CE">
              <w:rPr>
                <w:b/>
                <w:lang w:val="uk-UA"/>
              </w:rPr>
              <w:t>Всього за напрямом 6: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Всього, у т.ч.: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130</w:t>
            </w:r>
            <w:r w:rsidRPr="00DF14CE">
              <w:rPr>
                <w:b/>
                <w:color w:val="000000"/>
                <w:lang w:val="uk-UA"/>
              </w:rPr>
              <w:t>5,0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43</w:t>
            </w:r>
            <w:r w:rsidRPr="00DF14CE">
              <w:rPr>
                <w:b/>
                <w:color w:val="000000"/>
                <w:lang w:val="uk-UA"/>
              </w:rPr>
              <w:t>5,0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43</w:t>
            </w:r>
            <w:r w:rsidRPr="00DF14CE">
              <w:rPr>
                <w:b/>
                <w:color w:val="000000"/>
                <w:lang w:val="uk-UA"/>
              </w:rPr>
              <w:t>5,0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435</w:t>
            </w:r>
            <w:r w:rsidRPr="00DF14CE">
              <w:rPr>
                <w:b/>
                <w:lang w:val="uk-UA"/>
              </w:rPr>
              <w:t>,0</w:t>
            </w:r>
          </w:p>
        </w:tc>
        <w:tc>
          <w:tcPr>
            <w:tcW w:w="1774" w:type="dxa"/>
            <w:vMerge w:val="restart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b/>
                <w:lang w:val="uk-UA"/>
              </w:rPr>
            </w:pPr>
            <w:proofErr w:type="spellStart"/>
            <w:r w:rsidRPr="00DF14CE">
              <w:rPr>
                <w:b/>
                <w:lang w:val="uk-UA"/>
              </w:rPr>
              <w:t>Облас</w:t>
            </w:r>
            <w:r>
              <w:rPr>
                <w:b/>
                <w:lang w:val="uk-UA"/>
              </w:rPr>
              <w:t>-</w:t>
            </w:r>
            <w:r w:rsidRPr="00DF14CE">
              <w:rPr>
                <w:b/>
                <w:lang w:val="uk-UA"/>
              </w:rPr>
              <w:t>ний</w:t>
            </w:r>
            <w:proofErr w:type="spellEnd"/>
            <w:r w:rsidRPr="00DF14CE">
              <w:rPr>
                <w:b/>
                <w:lang w:val="uk-UA"/>
              </w:rPr>
              <w:t xml:space="preserve"> </w:t>
            </w:r>
            <w:r w:rsidRPr="00DF14CE">
              <w:rPr>
                <w:b/>
                <w:lang w:val="uk-UA"/>
              </w:rPr>
              <w:lastRenderedPageBreak/>
              <w:t>бюджет</w:t>
            </w:r>
          </w:p>
        </w:tc>
        <w:tc>
          <w:tcPr>
            <w:tcW w:w="1106" w:type="dxa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lastRenderedPageBreak/>
              <w:t>975,0</w:t>
            </w:r>
          </w:p>
        </w:tc>
        <w:tc>
          <w:tcPr>
            <w:tcW w:w="1162" w:type="dxa"/>
            <w:gridSpan w:val="2"/>
          </w:tcPr>
          <w:p w:rsidR="008A76D4" w:rsidRPr="00DF14CE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325,0</w:t>
            </w:r>
          </w:p>
        </w:tc>
        <w:tc>
          <w:tcPr>
            <w:tcW w:w="1084" w:type="dxa"/>
          </w:tcPr>
          <w:p w:rsidR="008A76D4" w:rsidRPr="00DF14CE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DF14CE">
              <w:rPr>
                <w:b/>
                <w:color w:val="000000"/>
                <w:lang w:val="uk-UA"/>
              </w:rPr>
              <w:t>325,0</w:t>
            </w:r>
          </w:p>
        </w:tc>
        <w:tc>
          <w:tcPr>
            <w:tcW w:w="1125" w:type="dxa"/>
          </w:tcPr>
          <w:p w:rsidR="008A76D4" w:rsidRPr="00DF14CE" w:rsidRDefault="008A76D4" w:rsidP="008A76D4">
            <w:pPr>
              <w:jc w:val="center"/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325,0</w:t>
            </w:r>
          </w:p>
        </w:tc>
        <w:tc>
          <w:tcPr>
            <w:tcW w:w="1774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 xml:space="preserve">Інші місцеві </w:t>
            </w:r>
            <w:proofErr w:type="spellStart"/>
            <w:r w:rsidRPr="00DF14CE">
              <w:rPr>
                <w:b/>
                <w:lang w:val="uk-UA"/>
              </w:rPr>
              <w:t>бюдже</w:t>
            </w:r>
            <w:r>
              <w:rPr>
                <w:b/>
                <w:lang w:val="uk-UA"/>
              </w:rPr>
              <w:t>-</w:t>
            </w:r>
            <w:r w:rsidRPr="00DF14CE">
              <w:rPr>
                <w:b/>
                <w:lang w:val="uk-UA"/>
              </w:rPr>
              <w:t>ти</w:t>
            </w:r>
            <w:proofErr w:type="spellEnd"/>
            <w:r w:rsidRPr="00DF14CE">
              <w:rPr>
                <w:b/>
                <w:lang w:val="uk-UA"/>
              </w:rPr>
              <w:t xml:space="preserve"> </w:t>
            </w:r>
          </w:p>
        </w:tc>
        <w:tc>
          <w:tcPr>
            <w:tcW w:w="1106" w:type="dxa"/>
          </w:tcPr>
          <w:p w:rsidR="008A76D4" w:rsidRPr="00CF2D94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CF2D94">
              <w:rPr>
                <w:b/>
                <w:color w:val="000000"/>
                <w:lang w:val="uk-UA"/>
              </w:rPr>
              <w:t>330,0</w:t>
            </w:r>
          </w:p>
        </w:tc>
        <w:tc>
          <w:tcPr>
            <w:tcW w:w="1162" w:type="dxa"/>
            <w:gridSpan w:val="2"/>
          </w:tcPr>
          <w:p w:rsidR="008A76D4" w:rsidRPr="00CF2D94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CF2D94">
              <w:rPr>
                <w:b/>
                <w:color w:val="000000"/>
                <w:lang w:val="uk-UA"/>
              </w:rPr>
              <w:t>110,0</w:t>
            </w:r>
          </w:p>
        </w:tc>
        <w:tc>
          <w:tcPr>
            <w:tcW w:w="1084" w:type="dxa"/>
          </w:tcPr>
          <w:p w:rsidR="008A76D4" w:rsidRPr="00CF2D94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CF2D94">
              <w:rPr>
                <w:b/>
                <w:color w:val="000000"/>
                <w:lang w:val="uk-UA"/>
              </w:rPr>
              <w:t>110,0</w:t>
            </w:r>
          </w:p>
        </w:tc>
        <w:tc>
          <w:tcPr>
            <w:tcW w:w="1125" w:type="dxa"/>
          </w:tcPr>
          <w:p w:rsidR="008A76D4" w:rsidRPr="00CF2D94" w:rsidRDefault="008A76D4" w:rsidP="008A76D4">
            <w:pPr>
              <w:jc w:val="center"/>
              <w:rPr>
                <w:b/>
                <w:lang w:val="uk-UA"/>
              </w:rPr>
            </w:pPr>
            <w:r w:rsidRPr="00CF2D94">
              <w:rPr>
                <w:b/>
                <w:lang w:val="uk-UA"/>
              </w:rPr>
              <w:t>110,0</w:t>
            </w:r>
          </w:p>
        </w:tc>
        <w:tc>
          <w:tcPr>
            <w:tcW w:w="1774" w:type="dxa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 w:val="restart"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  <w:bookmarkStart w:id="1" w:name="_GoBack" w:colFirst="3" w:colLast="6"/>
          </w:p>
        </w:tc>
        <w:tc>
          <w:tcPr>
            <w:tcW w:w="8084" w:type="dxa"/>
            <w:gridSpan w:val="4"/>
            <w:vMerge w:val="restart"/>
          </w:tcPr>
          <w:p w:rsidR="008A76D4" w:rsidRPr="00DF14CE" w:rsidRDefault="008A76D4" w:rsidP="008A76D4">
            <w:pPr>
              <w:tabs>
                <w:tab w:val="left" w:pos="5070"/>
              </w:tabs>
              <w:rPr>
                <w:lang w:val="uk-UA"/>
              </w:rPr>
            </w:pPr>
            <w:r w:rsidRPr="00DF14CE">
              <w:rPr>
                <w:b/>
                <w:lang w:val="uk-UA"/>
              </w:rPr>
              <w:t>Усього витрат на виконання Програми:</w:t>
            </w: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>Всього, у т.ч.:</w:t>
            </w:r>
          </w:p>
        </w:tc>
        <w:tc>
          <w:tcPr>
            <w:tcW w:w="1106" w:type="dxa"/>
          </w:tcPr>
          <w:p w:rsidR="008A76D4" w:rsidRPr="00DF14CE" w:rsidRDefault="00667EE2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330</w:t>
            </w:r>
            <w:r w:rsidR="008A76D4" w:rsidRPr="00DF14CE">
              <w:rPr>
                <w:b/>
                <w:color w:val="000000"/>
                <w:lang w:val="uk-UA"/>
              </w:rPr>
              <w:t>5,0</w:t>
            </w:r>
          </w:p>
        </w:tc>
        <w:tc>
          <w:tcPr>
            <w:tcW w:w="1162" w:type="dxa"/>
            <w:gridSpan w:val="2"/>
          </w:tcPr>
          <w:p w:rsidR="008A76D4" w:rsidRPr="00DF14CE" w:rsidRDefault="00667EE2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735</w:t>
            </w:r>
            <w:r w:rsidR="008A76D4" w:rsidRPr="00DF14CE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084" w:type="dxa"/>
          </w:tcPr>
          <w:p w:rsidR="008A76D4" w:rsidRPr="00DF14CE" w:rsidRDefault="001C4E7D" w:rsidP="008A76D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12</w:t>
            </w:r>
            <w:r w:rsidR="008A76D4">
              <w:rPr>
                <w:b/>
                <w:color w:val="000000"/>
                <w:lang w:val="uk-UA"/>
              </w:rPr>
              <w:t>8</w:t>
            </w:r>
            <w:r w:rsidR="008A76D4" w:rsidRPr="00DF14CE">
              <w:rPr>
                <w:b/>
                <w:color w:val="000000"/>
                <w:lang w:val="uk-UA"/>
              </w:rPr>
              <w:t>5,0</w:t>
            </w:r>
          </w:p>
        </w:tc>
        <w:tc>
          <w:tcPr>
            <w:tcW w:w="1125" w:type="dxa"/>
          </w:tcPr>
          <w:p w:rsidR="008A76D4" w:rsidRPr="00DF14CE" w:rsidRDefault="001C4E7D" w:rsidP="008A76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  <w:r w:rsidR="008A76D4">
              <w:rPr>
                <w:b/>
                <w:lang w:val="uk-UA"/>
              </w:rPr>
              <w:t>8</w:t>
            </w:r>
            <w:r w:rsidR="008A76D4" w:rsidRPr="00DF14CE">
              <w:rPr>
                <w:b/>
                <w:lang w:val="uk-UA"/>
              </w:rPr>
              <w:t>5,0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  <w:vMerge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b/>
                <w:lang w:val="uk-UA"/>
              </w:rPr>
            </w:pPr>
            <w:proofErr w:type="spellStart"/>
            <w:r w:rsidRPr="00DF14CE">
              <w:rPr>
                <w:b/>
                <w:lang w:val="uk-UA"/>
              </w:rPr>
              <w:t>Облас</w:t>
            </w:r>
            <w:r>
              <w:rPr>
                <w:b/>
                <w:lang w:val="uk-UA"/>
              </w:rPr>
              <w:t>-</w:t>
            </w:r>
            <w:r w:rsidRPr="00DF14CE">
              <w:rPr>
                <w:b/>
                <w:lang w:val="uk-UA"/>
              </w:rPr>
              <w:t>ний</w:t>
            </w:r>
            <w:proofErr w:type="spellEnd"/>
            <w:r w:rsidRPr="00DF14CE">
              <w:rPr>
                <w:b/>
                <w:lang w:val="uk-UA"/>
              </w:rPr>
              <w:t xml:space="preserve"> бюджет</w:t>
            </w:r>
          </w:p>
        </w:tc>
        <w:tc>
          <w:tcPr>
            <w:tcW w:w="1106" w:type="dxa"/>
          </w:tcPr>
          <w:p w:rsidR="008A76D4" w:rsidRPr="00DF14CE" w:rsidRDefault="00667EE2" w:rsidP="00667EE2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2975</w:t>
            </w:r>
            <w:r w:rsidR="008A76D4" w:rsidRPr="00DF14CE">
              <w:rPr>
                <w:b/>
                <w:color w:val="000000"/>
                <w:lang w:val="uk-UA"/>
              </w:rPr>
              <w:t>,0</w:t>
            </w:r>
          </w:p>
        </w:tc>
        <w:tc>
          <w:tcPr>
            <w:tcW w:w="1162" w:type="dxa"/>
            <w:gridSpan w:val="2"/>
          </w:tcPr>
          <w:p w:rsidR="008A76D4" w:rsidRPr="00DF14CE" w:rsidRDefault="00667EE2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62</w:t>
            </w:r>
            <w:r w:rsidR="008A76D4" w:rsidRPr="00DF14CE">
              <w:rPr>
                <w:b/>
                <w:color w:val="000000"/>
                <w:lang w:val="uk-UA"/>
              </w:rPr>
              <w:t>5,0</w:t>
            </w:r>
          </w:p>
        </w:tc>
        <w:tc>
          <w:tcPr>
            <w:tcW w:w="1084" w:type="dxa"/>
          </w:tcPr>
          <w:p w:rsidR="008A76D4" w:rsidRPr="00DF14CE" w:rsidRDefault="001C4E7D" w:rsidP="008A76D4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11</w:t>
            </w:r>
            <w:r w:rsidR="008A76D4" w:rsidRPr="00DF14CE">
              <w:rPr>
                <w:b/>
                <w:color w:val="000000"/>
                <w:lang w:val="uk-UA"/>
              </w:rPr>
              <w:t>75,0</w:t>
            </w:r>
          </w:p>
        </w:tc>
        <w:tc>
          <w:tcPr>
            <w:tcW w:w="1125" w:type="dxa"/>
          </w:tcPr>
          <w:p w:rsidR="008A76D4" w:rsidRPr="00DF14CE" w:rsidRDefault="001C4E7D" w:rsidP="008A76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8A76D4" w:rsidRPr="00DF14CE">
              <w:rPr>
                <w:b/>
                <w:lang w:val="uk-UA"/>
              </w:rPr>
              <w:t>75,0</w:t>
            </w:r>
          </w:p>
        </w:tc>
        <w:tc>
          <w:tcPr>
            <w:tcW w:w="1774" w:type="dxa"/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tr w:rsidR="008A76D4" w:rsidRPr="00DF14CE" w:rsidTr="008A76D4">
        <w:trPr>
          <w:trHeight w:val="70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8A76D4" w:rsidRPr="00DF14CE" w:rsidRDefault="008A76D4" w:rsidP="008A76D4">
            <w:pPr>
              <w:jc w:val="center"/>
              <w:rPr>
                <w:lang w:val="uk-UA"/>
              </w:rPr>
            </w:pPr>
          </w:p>
        </w:tc>
        <w:tc>
          <w:tcPr>
            <w:tcW w:w="8084" w:type="dxa"/>
            <w:gridSpan w:val="4"/>
            <w:vMerge/>
            <w:tcBorders>
              <w:bottom w:val="single" w:sz="4" w:space="0" w:color="auto"/>
            </w:tcBorders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  <w:tc>
          <w:tcPr>
            <w:tcW w:w="1163" w:type="dxa"/>
          </w:tcPr>
          <w:p w:rsidR="008A76D4" w:rsidRPr="00DF14CE" w:rsidRDefault="008A76D4" w:rsidP="008A76D4">
            <w:pPr>
              <w:rPr>
                <w:b/>
                <w:lang w:val="uk-UA"/>
              </w:rPr>
            </w:pPr>
            <w:r w:rsidRPr="00DF14CE">
              <w:rPr>
                <w:b/>
                <w:lang w:val="uk-UA"/>
              </w:rPr>
              <w:t xml:space="preserve">Інші місцеві </w:t>
            </w:r>
            <w:proofErr w:type="spellStart"/>
            <w:r w:rsidRPr="00DF14CE">
              <w:rPr>
                <w:b/>
                <w:lang w:val="uk-UA"/>
              </w:rPr>
              <w:t>бюдже</w:t>
            </w:r>
            <w:r>
              <w:rPr>
                <w:b/>
                <w:lang w:val="uk-UA"/>
              </w:rPr>
              <w:t>-</w:t>
            </w:r>
            <w:r w:rsidRPr="00DF14CE">
              <w:rPr>
                <w:b/>
                <w:lang w:val="uk-UA"/>
              </w:rPr>
              <w:t>ти</w:t>
            </w:r>
            <w:proofErr w:type="spellEnd"/>
            <w:r w:rsidRPr="00DF14CE">
              <w:rPr>
                <w:b/>
                <w:lang w:val="uk-UA"/>
              </w:rPr>
              <w:t xml:space="preserve"> 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8A76D4" w:rsidRPr="00CF2D94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CF2D94">
              <w:rPr>
                <w:b/>
                <w:color w:val="000000"/>
                <w:lang w:val="uk-UA"/>
              </w:rPr>
              <w:t>330,0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</w:tcPr>
          <w:p w:rsidR="008A76D4" w:rsidRPr="00CF2D94" w:rsidRDefault="008A76D4" w:rsidP="008A76D4">
            <w:pPr>
              <w:ind w:right="-108"/>
              <w:jc w:val="center"/>
              <w:rPr>
                <w:b/>
                <w:color w:val="000000"/>
                <w:lang w:val="uk-UA"/>
              </w:rPr>
            </w:pPr>
            <w:r w:rsidRPr="00CF2D94">
              <w:rPr>
                <w:b/>
                <w:color w:val="000000"/>
                <w:lang w:val="uk-UA"/>
              </w:rPr>
              <w:t>110,0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8A76D4" w:rsidRPr="00CF2D94" w:rsidRDefault="008A76D4" w:rsidP="008A76D4">
            <w:pPr>
              <w:jc w:val="center"/>
              <w:rPr>
                <w:b/>
                <w:color w:val="000000"/>
                <w:lang w:val="uk-UA"/>
              </w:rPr>
            </w:pPr>
            <w:r w:rsidRPr="00CF2D94">
              <w:rPr>
                <w:b/>
                <w:color w:val="000000"/>
                <w:lang w:val="uk-UA"/>
              </w:rPr>
              <w:t>110,0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A76D4" w:rsidRPr="00CF2D94" w:rsidRDefault="008A76D4" w:rsidP="008A76D4">
            <w:pPr>
              <w:jc w:val="center"/>
              <w:rPr>
                <w:b/>
                <w:lang w:val="uk-UA"/>
              </w:rPr>
            </w:pPr>
            <w:r w:rsidRPr="00CF2D94">
              <w:rPr>
                <w:b/>
                <w:lang w:val="uk-UA"/>
              </w:rPr>
              <w:t>110,0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8A76D4" w:rsidRPr="00DF14CE" w:rsidRDefault="008A76D4" w:rsidP="008A76D4">
            <w:pPr>
              <w:rPr>
                <w:lang w:val="uk-UA"/>
              </w:rPr>
            </w:pPr>
          </w:p>
        </w:tc>
      </w:tr>
      <w:bookmarkEnd w:id="1"/>
    </w:tbl>
    <w:p w:rsidR="00CF1685" w:rsidRPr="00DF14CE" w:rsidRDefault="00CF1685" w:rsidP="008A76D4">
      <w:pPr>
        <w:tabs>
          <w:tab w:val="left" w:pos="11040"/>
        </w:tabs>
        <w:rPr>
          <w:sz w:val="20"/>
          <w:szCs w:val="20"/>
          <w:lang w:val="uk-UA"/>
        </w:rPr>
      </w:pPr>
    </w:p>
    <w:p w:rsidR="00415AC8" w:rsidRDefault="00CF1685" w:rsidP="008A76D4">
      <w:pPr>
        <w:ind w:hanging="993"/>
        <w:jc w:val="both"/>
        <w:rPr>
          <w:sz w:val="28"/>
          <w:szCs w:val="28"/>
          <w:lang w:val="uk-UA"/>
        </w:rPr>
      </w:pPr>
      <w:r w:rsidRPr="00DF14CE">
        <w:rPr>
          <w:sz w:val="28"/>
          <w:szCs w:val="28"/>
          <w:lang w:val="uk-UA"/>
        </w:rPr>
        <w:t xml:space="preserve">Директор Департаменту </w:t>
      </w:r>
    </w:p>
    <w:p w:rsidR="00CF1685" w:rsidRPr="00DF14CE" w:rsidRDefault="00CF1685" w:rsidP="008A76D4">
      <w:pPr>
        <w:ind w:hanging="993"/>
        <w:jc w:val="both"/>
        <w:rPr>
          <w:sz w:val="28"/>
          <w:szCs w:val="28"/>
          <w:lang w:val="uk-UA"/>
        </w:rPr>
      </w:pPr>
      <w:r w:rsidRPr="00DF14CE">
        <w:rPr>
          <w:sz w:val="28"/>
          <w:szCs w:val="28"/>
          <w:lang w:val="uk-UA"/>
        </w:rPr>
        <w:t xml:space="preserve">реалізації гуманітарної політики </w:t>
      </w:r>
    </w:p>
    <w:p w:rsidR="00CF1685" w:rsidRPr="00DF14CE" w:rsidRDefault="00CF1685" w:rsidP="006B497E">
      <w:pPr>
        <w:spacing w:line="235" w:lineRule="auto"/>
        <w:ind w:hanging="993"/>
        <w:jc w:val="both"/>
        <w:rPr>
          <w:sz w:val="28"/>
          <w:szCs w:val="28"/>
          <w:lang w:val="uk-UA"/>
        </w:rPr>
      </w:pPr>
      <w:r w:rsidRPr="00DF14CE">
        <w:rPr>
          <w:sz w:val="28"/>
          <w:szCs w:val="28"/>
          <w:lang w:val="uk-UA"/>
        </w:rPr>
        <w:t xml:space="preserve">обласної державної адміністрації                                                                   </w:t>
      </w:r>
      <w:r w:rsidR="0087661F">
        <w:rPr>
          <w:sz w:val="28"/>
          <w:szCs w:val="28"/>
          <w:lang w:val="uk-UA"/>
        </w:rPr>
        <w:t xml:space="preserve">                                                         </w:t>
      </w:r>
      <w:r w:rsidRPr="00DF14CE">
        <w:rPr>
          <w:sz w:val="28"/>
          <w:szCs w:val="28"/>
          <w:lang w:val="uk-UA"/>
        </w:rPr>
        <w:t>Віолетта ЦАРЬКОВА</w:t>
      </w:r>
    </w:p>
    <w:sectPr w:rsidR="00CF1685" w:rsidRPr="00DF14CE" w:rsidSect="00CC2FCF">
      <w:headerReference w:type="even" r:id="rId9"/>
      <w:headerReference w:type="default" r:id="rId10"/>
      <w:pgSz w:w="16840" w:h="11907" w:orient="landscape"/>
      <w:pgMar w:top="141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F4E" w:rsidRDefault="00F42F4E">
      <w:r>
        <w:separator/>
      </w:r>
    </w:p>
  </w:endnote>
  <w:endnote w:type="continuationSeparator" w:id="0">
    <w:p w:rsidR="00F42F4E" w:rsidRDefault="00F4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F4E" w:rsidRDefault="00F42F4E">
      <w:r>
        <w:separator/>
      </w:r>
    </w:p>
  </w:footnote>
  <w:footnote w:type="continuationSeparator" w:id="0">
    <w:p w:rsidR="00F42F4E" w:rsidRDefault="00F42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4A9" w:rsidRDefault="005A24A9" w:rsidP="00852D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24A9" w:rsidRDefault="005A24A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1720"/>
      <w:docPartObj>
        <w:docPartGallery w:val="Page Numbers (Top of Page)"/>
        <w:docPartUnique/>
      </w:docPartObj>
    </w:sdtPr>
    <w:sdtEndPr/>
    <w:sdtContent>
      <w:p w:rsidR="005A24A9" w:rsidRDefault="005A24A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EE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5A24A9" w:rsidRPr="009A43FD" w:rsidRDefault="005A24A9" w:rsidP="009A43FD">
    <w:pPr>
      <w:pStyle w:val="a6"/>
      <w:jc w:val="right"/>
      <w:rPr>
        <w:lang w:val="uk-UA"/>
      </w:rPr>
    </w:pPr>
    <w:r>
      <w:rPr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68B8"/>
    <w:multiLevelType w:val="hybridMultilevel"/>
    <w:tmpl w:val="E59061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D1A"/>
    <w:multiLevelType w:val="hybridMultilevel"/>
    <w:tmpl w:val="3984E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566B00"/>
    <w:multiLevelType w:val="hybridMultilevel"/>
    <w:tmpl w:val="114CDFB2"/>
    <w:lvl w:ilvl="0" w:tplc="2482E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83D1D"/>
    <w:multiLevelType w:val="multilevel"/>
    <w:tmpl w:val="31A298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62"/>
    <w:rsid w:val="00000D2B"/>
    <w:rsid w:val="000218AD"/>
    <w:rsid w:val="00033324"/>
    <w:rsid w:val="000334CD"/>
    <w:rsid w:val="00033784"/>
    <w:rsid w:val="00044A9D"/>
    <w:rsid w:val="000467D5"/>
    <w:rsid w:val="00051921"/>
    <w:rsid w:val="000562EE"/>
    <w:rsid w:val="00066812"/>
    <w:rsid w:val="00070736"/>
    <w:rsid w:val="0007292E"/>
    <w:rsid w:val="000765ED"/>
    <w:rsid w:val="00081E75"/>
    <w:rsid w:val="00090317"/>
    <w:rsid w:val="00091996"/>
    <w:rsid w:val="000A3AAD"/>
    <w:rsid w:val="000A48D9"/>
    <w:rsid w:val="000B1571"/>
    <w:rsid w:val="000B17CD"/>
    <w:rsid w:val="000B2A83"/>
    <w:rsid w:val="000B4529"/>
    <w:rsid w:val="000B5E79"/>
    <w:rsid w:val="000C2C89"/>
    <w:rsid w:val="000C6236"/>
    <w:rsid w:val="000D1FD9"/>
    <w:rsid w:val="000D27CF"/>
    <w:rsid w:val="000D3AAD"/>
    <w:rsid w:val="000E2DBE"/>
    <w:rsid w:val="000E69D7"/>
    <w:rsid w:val="000F161A"/>
    <w:rsid w:val="000F5D0C"/>
    <w:rsid w:val="00100828"/>
    <w:rsid w:val="001140E8"/>
    <w:rsid w:val="00116828"/>
    <w:rsid w:val="001201F0"/>
    <w:rsid w:val="001222CB"/>
    <w:rsid w:val="00126654"/>
    <w:rsid w:val="00132837"/>
    <w:rsid w:val="0013577A"/>
    <w:rsid w:val="001420BE"/>
    <w:rsid w:val="0015472F"/>
    <w:rsid w:val="001562B1"/>
    <w:rsid w:val="00167C6E"/>
    <w:rsid w:val="00173CF8"/>
    <w:rsid w:val="00174E50"/>
    <w:rsid w:val="0017767F"/>
    <w:rsid w:val="001858BC"/>
    <w:rsid w:val="0019074D"/>
    <w:rsid w:val="00196DAB"/>
    <w:rsid w:val="001A5C9C"/>
    <w:rsid w:val="001B0E62"/>
    <w:rsid w:val="001C30DC"/>
    <w:rsid w:val="001C4B1F"/>
    <w:rsid w:val="001C4DD0"/>
    <w:rsid w:val="001C4E7D"/>
    <w:rsid w:val="001D04C4"/>
    <w:rsid w:val="001E1F8F"/>
    <w:rsid w:val="001E243F"/>
    <w:rsid w:val="001E2DCD"/>
    <w:rsid w:val="001E53B0"/>
    <w:rsid w:val="001F0F02"/>
    <w:rsid w:val="001F246A"/>
    <w:rsid w:val="001F2763"/>
    <w:rsid w:val="001F355B"/>
    <w:rsid w:val="001F55EB"/>
    <w:rsid w:val="00210732"/>
    <w:rsid w:val="002120A3"/>
    <w:rsid w:val="0021211B"/>
    <w:rsid w:val="0021338D"/>
    <w:rsid w:val="00215FC1"/>
    <w:rsid w:val="0021609A"/>
    <w:rsid w:val="002177D6"/>
    <w:rsid w:val="00221737"/>
    <w:rsid w:val="00226AF3"/>
    <w:rsid w:val="002465AA"/>
    <w:rsid w:val="002557C1"/>
    <w:rsid w:val="0026433A"/>
    <w:rsid w:val="00271F4D"/>
    <w:rsid w:val="0027326A"/>
    <w:rsid w:val="00273E99"/>
    <w:rsid w:val="00276110"/>
    <w:rsid w:val="00296DEC"/>
    <w:rsid w:val="002C182F"/>
    <w:rsid w:val="002C373D"/>
    <w:rsid w:val="002C7C69"/>
    <w:rsid w:val="002D1CF7"/>
    <w:rsid w:val="002D5789"/>
    <w:rsid w:val="002E12F1"/>
    <w:rsid w:val="002E6D6D"/>
    <w:rsid w:val="002F034B"/>
    <w:rsid w:val="002F2BCF"/>
    <w:rsid w:val="002F308A"/>
    <w:rsid w:val="002F348C"/>
    <w:rsid w:val="002F34B3"/>
    <w:rsid w:val="002F5F07"/>
    <w:rsid w:val="002F6998"/>
    <w:rsid w:val="00303AA1"/>
    <w:rsid w:val="003060F4"/>
    <w:rsid w:val="0030696E"/>
    <w:rsid w:val="0031226B"/>
    <w:rsid w:val="00313AEF"/>
    <w:rsid w:val="0031499A"/>
    <w:rsid w:val="0031585E"/>
    <w:rsid w:val="00320BAE"/>
    <w:rsid w:val="00321F71"/>
    <w:rsid w:val="00323905"/>
    <w:rsid w:val="00324E76"/>
    <w:rsid w:val="00325A36"/>
    <w:rsid w:val="0033073F"/>
    <w:rsid w:val="0033303A"/>
    <w:rsid w:val="00333684"/>
    <w:rsid w:val="00336663"/>
    <w:rsid w:val="0034522E"/>
    <w:rsid w:val="003543EA"/>
    <w:rsid w:val="0035511E"/>
    <w:rsid w:val="003560FE"/>
    <w:rsid w:val="003570B4"/>
    <w:rsid w:val="00357B05"/>
    <w:rsid w:val="003622AD"/>
    <w:rsid w:val="0036487D"/>
    <w:rsid w:val="0037028C"/>
    <w:rsid w:val="00371DB3"/>
    <w:rsid w:val="00374C84"/>
    <w:rsid w:val="00374E83"/>
    <w:rsid w:val="003838E7"/>
    <w:rsid w:val="00384381"/>
    <w:rsid w:val="0038441A"/>
    <w:rsid w:val="00384E4E"/>
    <w:rsid w:val="003871DC"/>
    <w:rsid w:val="00387F0B"/>
    <w:rsid w:val="00397030"/>
    <w:rsid w:val="003A2F4F"/>
    <w:rsid w:val="003A6F29"/>
    <w:rsid w:val="003A7E06"/>
    <w:rsid w:val="003A7EAB"/>
    <w:rsid w:val="003B30C3"/>
    <w:rsid w:val="003D116D"/>
    <w:rsid w:val="003D5102"/>
    <w:rsid w:val="003E41CE"/>
    <w:rsid w:val="003E545A"/>
    <w:rsid w:val="003F24DD"/>
    <w:rsid w:val="003F5506"/>
    <w:rsid w:val="003F65F3"/>
    <w:rsid w:val="004003FD"/>
    <w:rsid w:val="00401998"/>
    <w:rsid w:val="00401C6A"/>
    <w:rsid w:val="00405662"/>
    <w:rsid w:val="0041145D"/>
    <w:rsid w:val="004144A6"/>
    <w:rsid w:val="00414B15"/>
    <w:rsid w:val="00415AC8"/>
    <w:rsid w:val="004240CA"/>
    <w:rsid w:val="004241F4"/>
    <w:rsid w:val="00424FE8"/>
    <w:rsid w:val="004257B6"/>
    <w:rsid w:val="00435598"/>
    <w:rsid w:val="00442533"/>
    <w:rsid w:val="004533FF"/>
    <w:rsid w:val="00454002"/>
    <w:rsid w:val="00456CCA"/>
    <w:rsid w:val="0046250B"/>
    <w:rsid w:val="00462956"/>
    <w:rsid w:val="00462C4D"/>
    <w:rsid w:val="004704BB"/>
    <w:rsid w:val="00477308"/>
    <w:rsid w:val="0048082F"/>
    <w:rsid w:val="00482885"/>
    <w:rsid w:val="00483470"/>
    <w:rsid w:val="004964EC"/>
    <w:rsid w:val="00497CD9"/>
    <w:rsid w:val="004A0F51"/>
    <w:rsid w:val="004A10DE"/>
    <w:rsid w:val="004B7777"/>
    <w:rsid w:val="004C4033"/>
    <w:rsid w:val="004D04D4"/>
    <w:rsid w:val="004D548E"/>
    <w:rsid w:val="004E35DC"/>
    <w:rsid w:val="004F31FC"/>
    <w:rsid w:val="004F469D"/>
    <w:rsid w:val="004F726B"/>
    <w:rsid w:val="0050101B"/>
    <w:rsid w:val="00501CD5"/>
    <w:rsid w:val="00503EDB"/>
    <w:rsid w:val="00517E07"/>
    <w:rsid w:val="00520872"/>
    <w:rsid w:val="00522486"/>
    <w:rsid w:val="00522845"/>
    <w:rsid w:val="005241FC"/>
    <w:rsid w:val="00525190"/>
    <w:rsid w:val="00532412"/>
    <w:rsid w:val="00536C67"/>
    <w:rsid w:val="00543225"/>
    <w:rsid w:val="0054371D"/>
    <w:rsid w:val="005602BF"/>
    <w:rsid w:val="005764B0"/>
    <w:rsid w:val="00577126"/>
    <w:rsid w:val="00580908"/>
    <w:rsid w:val="00583839"/>
    <w:rsid w:val="0058413D"/>
    <w:rsid w:val="00584654"/>
    <w:rsid w:val="0058472D"/>
    <w:rsid w:val="0059355B"/>
    <w:rsid w:val="00594520"/>
    <w:rsid w:val="00594F5D"/>
    <w:rsid w:val="005A0C15"/>
    <w:rsid w:val="005A24A9"/>
    <w:rsid w:val="005A698E"/>
    <w:rsid w:val="005A70DB"/>
    <w:rsid w:val="005A77AD"/>
    <w:rsid w:val="005B14D6"/>
    <w:rsid w:val="005B646E"/>
    <w:rsid w:val="005B7B69"/>
    <w:rsid w:val="005C413A"/>
    <w:rsid w:val="005C46C4"/>
    <w:rsid w:val="005C5A56"/>
    <w:rsid w:val="005D0D28"/>
    <w:rsid w:val="005D5245"/>
    <w:rsid w:val="005D7292"/>
    <w:rsid w:val="005E0862"/>
    <w:rsid w:val="005E218D"/>
    <w:rsid w:val="005E2A3E"/>
    <w:rsid w:val="005E7BBA"/>
    <w:rsid w:val="005E7E51"/>
    <w:rsid w:val="005F2185"/>
    <w:rsid w:val="005F4C7D"/>
    <w:rsid w:val="005F7780"/>
    <w:rsid w:val="006061DC"/>
    <w:rsid w:val="00614BEE"/>
    <w:rsid w:val="0061522A"/>
    <w:rsid w:val="00615C0B"/>
    <w:rsid w:val="00620BCA"/>
    <w:rsid w:val="00627F8E"/>
    <w:rsid w:val="00653EC0"/>
    <w:rsid w:val="006577BC"/>
    <w:rsid w:val="00660879"/>
    <w:rsid w:val="00660F45"/>
    <w:rsid w:val="00663EB8"/>
    <w:rsid w:val="00664E93"/>
    <w:rsid w:val="006672F5"/>
    <w:rsid w:val="00667EE2"/>
    <w:rsid w:val="006702EA"/>
    <w:rsid w:val="00670859"/>
    <w:rsid w:val="006710B5"/>
    <w:rsid w:val="006735CF"/>
    <w:rsid w:val="006774BF"/>
    <w:rsid w:val="00681F24"/>
    <w:rsid w:val="006834E5"/>
    <w:rsid w:val="00683856"/>
    <w:rsid w:val="00686FFE"/>
    <w:rsid w:val="00687CF8"/>
    <w:rsid w:val="00691321"/>
    <w:rsid w:val="00691D8E"/>
    <w:rsid w:val="006958A7"/>
    <w:rsid w:val="00696F6E"/>
    <w:rsid w:val="006A1315"/>
    <w:rsid w:val="006A54F7"/>
    <w:rsid w:val="006A5A0C"/>
    <w:rsid w:val="006A7FF6"/>
    <w:rsid w:val="006B0F9C"/>
    <w:rsid w:val="006B1F34"/>
    <w:rsid w:val="006B351E"/>
    <w:rsid w:val="006B497E"/>
    <w:rsid w:val="006C000A"/>
    <w:rsid w:val="006C2604"/>
    <w:rsid w:val="006C7EAD"/>
    <w:rsid w:val="006C7F06"/>
    <w:rsid w:val="006D0205"/>
    <w:rsid w:val="006D7AFD"/>
    <w:rsid w:val="006F0264"/>
    <w:rsid w:val="006F04C1"/>
    <w:rsid w:val="006F1657"/>
    <w:rsid w:val="006F58E8"/>
    <w:rsid w:val="00703BC7"/>
    <w:rsid w:val="00704A9E"/>
    <w:rsid w:val="00705B8D"/>
    <w:rsid w:val="0071289C"/>
    <w:rsid w:val="00726BEB"/>
    <w:rsid w:val="00726E48"/>
    <w:rsid w:val="00735560"/>
    <w:rsid w:val="007475F8"/>
    <w:rsid w:val="007556A0"/>
    <w:rsid w:val="00762911"/>
    <w:rsid w:val="00770061"/>
    <w:rsid w:val="007714B3"/>
    <w:rsid w:val="007758B5"/>
    <w:rsid w:val="007816FC"/>
    <w:rsid w:val="00786088"/>
    <w:rsid w:val="00790C8D"/>
    <w:rsid w:val="007954CE"/>
    <w:rsid w:val="00795B48"/>
    <w:rsid w:val="007B229B"/>
    <w:rsid w:val="007B4B95"/>
    <w:rsid w:val="007C6138"/>
    <w:rsid w:val="007C6FDB"/>
    <w:rsid w:val="007D1B12"/>
    <w:rsid w:val="007D4C6C"/>
    <w:rsid w:val="007F054F"/>
    <w:rsid w:val="007F2901"/>
    <w:rsid w:val="007F30AF"/>
    <w:rsid w:val="007F3A47"/>
    <w:rsid w:val="007F64E3"/>
    <w:rsid w:val="007F7EC1"/>
    <w:rsid w:val="00802B4E"/>
    <w:rsid w:val="00804574"/>
    <w:rsid w:val="00805A4A"/>
    <w:rsid w:val="00812B05"/>
    <w:rsid w:val="008163E5"/>
    <w:rsid w:val="008202E0"/>
    <w:rsid w:val="00820FB4"/>
    <w:rsid w:val="00822A59"/>
    <w:rsid w:val="00823C65"/>
    <w:rsid w:val="00832FBE"/>
    <w:rsid w:val="008460D4"/>
    <w:rsid w:val="0085146E"/>
    <w:rsid w:val="00852DF6"/>
    <w:rsid w:val="00873DDC"/>
    <w:rsid w:val="008755D3"/>
    <w:rsid w:val="0087661F"/>
    <w:rsid w:val="00876D99"/>
    <w:rsid w:val="008772BF"/>
    <w:rsid w:val="00881494"/>
    <w:rsid w:val="0088415E"/>
    <w:rsid w:val="00886DFB"/>
    <w:rsid w:val="008919B2"/>
    <w:rsid w:val="00891AED"/>
    <w:rsid w:val="00894053"/>
    <w:rsid w:val="008961DD"/>
    <w:rsid w:val="008A1325"/>
    <w:rsid w:val="008A76D4"/>
    <w:rsid w:val="008B1F43"/>
    <w:rsid w:val="008B47A4"/>
    <w:rsid w:val="008B65D7"/>
    <w:rsid w:val="008C676F"/>
    <w:rsid w:val="008C7D7F"/>
    <w:rsid w:val="008D2047"/>
    <w:rsid w:val="008D2B8B"/>
    <w:rsid w:val="008D611F"/>
    <w:rsid w:val="008E0660"/>
    <w:rsid w:val="008E0909"/>
    <w:rsid w:val="008F0CDC"/>
    <w:rsid w:val="008F197E"/>
    <w:rsid w:val="008F3A51"/>
    <w:rsid w:val="009011F8"/>
    <w:rsid w:val="0090319F"/>
    <w:rsid w:val="00904471"/>
    <w:rsid w:val="0091476D"/>
    <w:rsid w:val="0091483F"/>
    <w:rsid w:val="00914ABA"/>
    <w:rsid w:val="00915C71"/>
    <w:rsid w:val="00916F17"/>
    <w:rsid w:val="00920281"/>
    <w:rsid w:val="0092543A"/>
    <w:rsid w:val="00926563"/>
    <w:rsid w:val="00926F25"/>
    <w:rsid w:val="009365BA"/>
    <w:rsid w:val="0094783A"/>
    <w:rsid w:val="009516E0"/>
    <w:rsid w:val="009538D5"/>
    <w:rsid w:val="009654B1"/>
    <w:rsid w:val="009657EA"/>
    <w:rsid w:val="00984F82"/>
    <w:rsid w:val="00995836"/>
    <w:rsid w:val="00995B5C"/>
    <w:rsid w:val="009A43FD"/>
    <w:rsid w:val="009A57DB"/>
    <w:rsid w:val="009A64F0"/>
    <w:rsid w:val="009A7B3F"/>
    <w:rsid w:val="009B2EB4"/>
    <w:rsid w:val="009B36A9"/>
    <w:rsid w:val="009C3E87"/>
    <w:rsid w:val="009C5EC7"/>
    <w:rsid w:val="009C6001"/>
    <w:rsid w:val="009D347A"/>
    <w:rsid w:val="009D35BE"/>
    <w:rsid w:val="009D4587"/>
    <w:rsid w:val="009D777D"/>
    <w:rsid w:val="009F1824"/>
    <w:rsid w:val="009F1AE1"/>
    <w:rsid w:val="009F5A5E"/>
    <w:rsid w:val="009F7DC8"/>
    <w:rsid w:val="00A02CD3"/>
    <w:rsid w:val="00A05053"/>
    <w:rsid w:val="00A06A37"/>
    <w:rsid w:val="00A10040"/>
    <w:rsid w:val="00A1220C"/>
    <w:rsid w:val="00A12EB7"/>
    <w:rsid w:val="00A156F7"/>
    <w:rsid w:val="00A15DC4"/>
    <w:rsid w:val="00A27147"/>
    <w:rsid w:val="00A33AE8"/>
    <w:rsid w:val="00A347B6"/>
    <w:rsid w:val="00A35B7E"/>
    <w:rsid w:val="00A37385"/>
    <w:rsid w:val="00A413FE"/>
    <w:rsid w:val="00A50B77"/>
    <w:rsid w:val="00A544A5"/>
    <w:rsid w:val="00A6608A"/>
    <w:rsid w:val="00A67166"/>
    <w:rsid w:val="00A67627"/>
    <w:rsid w:val="00A75421"/>
    <w:rsid w:val="00A8611B"/>
    <w:rsid w:val="00A91861"/>
    <w:rsid w:val="00A92D55"/>
    <w:rsid w:val="00A961F4"/>
    <w:rsid w:val="00A96A18"/>
    <w:rsid w:val="00AA0D34"/>
    <w:rsid w:val="00AA3312"/>
    <w:rsid w:val="00AB1251"/>
    <w:rsid w:val="00AB4125"/>
    <w:rsid w:val="00AD563F"/>
    <w:rsid w:val="00AE1BA6"/>
    <w:rsid w:val="00AE2E85"/>
    <w:rsid w:val="00AF2D0E"/>
    <w:rsid w:val="00AF3B4A"/>
    <w:rsid w:val="00AF3EFE"/>
    <w:rsid w:val="00B00F2B"/>
    <w:rsid w:val="00B042BA"/>
    <w:rsid w:val="00B05136"/>
    <w:rsid w:val="00B05512"/>
    <w:rsid w:val="00B0751F"/>
    <w:rsid w:val="00B1062F"/>
    <w:rsid w:val="00B11114"/>
    <w:rsid w:val="00B1114A"/>
    <w:rsid w:val="00B11D7C"/>
    <w:rsid w:val="00B14028"/>
    <w:rsid w:val="00B14C5F"/>
    <w:rsid w:val="00B21744"/>
    <w:rsid w:val="00B21955"/>
    <w:rsid w:val="00B250C4"/>
    <w:rsid w:val="00B251BB"/>
    <w:rsid w:val="00B33D90"/>
    <w:rsid w:val="00B512FB"/>
    <w:rsid w:val="00B64234"/>
    <w:rsid w:val="00B64729"/>
    <w:rsid w:val="00B7403C"/>
    <w:rsid w:val="00B76E12"/>
    <w:rsid w:val="00B80428"/>
    <w:rsid w:val="00B80F6B"/>
    <w:rsid w:val="00B839B4"/>
    <w:rsid w:val="00B868EA"/>
    <w:rsid w:val="00B96447"/>
    <w:rsid w:val="00B96B34"/>
    <w:rsid w:val="00BA6422"/>
    <w:rsid w:val="00BA694E"/>
    <w:rsid w:val="00BB42F3"/>
    <w:rsid w:val="00BB62A5"/>
    <w:rsid w:val="00BB672C"/>
    <w:rsid w:val="00BB70D1"/>
    <w:rsid w:val="00BC0E2D"/>
    <w:rsid w:val="00BC164B"/>
    <w:rsid w:val="00BC2E10"/>
    <w:rsid w:val="00BC30A4"/>
    <w:rsid w:val="00BC6537"/>
    <w:rsid w:val="00BD3221"/>
    <w:rsid w:val="00BD4A0B"/>
    <w:rsid w:val="00BD56ED"/>
    <w:rsid w:val="00BE0CD6"/>
    <w:rsid w:val="00BF2701"/>
    <w:rsid w:val="00BF6FA9"/>
    <w:rsid w:val="00C23AF9"/>
    <w:rsid w:val="00C31E31"/>
    <w:rsid w:val="00C33279"/>
    <w:rsid w:val="00C34A95"/>
    <w:rsid w:val="00C34D1C"/>
    <w:rsid w:val="00C36BD4"/>
    <w:rsid w:val="00C41C43"/>
    <w:rsid w:val="00C42C61"/>
    <w:rsid w:val="00C42DE9"/>
    <w:rsid w:val="00C500CD"/>
    <w:rsid w:val="00C5147F"/>
    <w:rsid w:val="00C518BD"/>
    <w:rsid w:val="00C533F2"/>
    <w:rsid w:val="00C60592"/>
    <w:rsid w:val="00C60F15"/>
    <w:rsid w:val="00C62822"/>
    <w:rsid w:val="00C734DE"/>
    <w:rsid w:val="00C80FD1"/>
    <w:rsid w:val="00C85CCE"/>
    <w:rsid w:val="00C90C80"/>
    <w:rsid w:val="00C94536"/>
    <w:rsid w:val="00C9553E"/>
    <w:rsid w:val="00CA0657"/>
    <w:rsid w:val="00CA0937"/>
    <w:rsid w:val="00CA2325"/>
    <w:rsid w:val="00CA293E"/>
    <w:rsid w:val="00CA39D6"/>
    <w:rsid w:val="00CB22A5"/>
    <w:rsid w:val="00CB2365"/>
    <w:rsid w:val="00CB40CC"/>
    <w:rsid w:val="00CB7551"/>
    <w:rsid w:val="00CC2EEF"/>
    <w:rsid w:val="00CC2FCF"/>
    <w:rsid w:val="00CC73CD"/>
    <w:rsid w:val="00CD2D76"/>
    <w:rsid w:val="00CE2B49"/>
    <w:rsid w:val="00CE4CA8"/>
    <w:rsid w:val="00CE6B00"/>
    <w:rsid w:val="00CF0080"/>
    <w:rsid w:val="00CF1042"/>
    <w:rsid w:val="00CF1685"/>
    <w:rsid w:val="00CF2D94"/>
    <w:rsid w:val="00CF3465"/>
    <w:rsid w:val="00D03007"/>
    <w:rsid w:val="00D034D6"/>
    <w:rsid w:val="00D1060C"/>
    <w:rsid w:val="00D127CD"/>
    <w:rsid w:val="00D14D63"/>
    <w:rsid w:val="00D15673"/>
    <w:rsid w:val="00D15D60"/>
    <w:rsid w:val="00D16740"/>
    <w:rsid w:val="00D21DF0"/>
    <w:rsid w:val="00D23B37"/>
    <w:rsid w:val="00D24835"/>
    <w:rsid w:val="00D30FD0"/>
    <w:rsid w:val="00D315DD"/>
    <w:rsid w:val="00D35B7A"/>
    <w:rsid w:val="00D36896"/>
    <w:rsid w:val="00D36BBE"/>
    <w:rsid w:val="00D370DF"/>
    <w:rsid w:val="00D37708"/>
    <w:rsid w:val="00D43D39"/>
    <w:rsid w:val="00D458D0"/>
    <w:rsid w:val="00D55ACC"/>
    <w:rsid w:val="00D60F4C"/>
    <w:rsid w:val="00D63CA1"/>
    <w:rsid w:val="00D6753A"/>
    <w:rsid w:val="00D70086"/>
    <w:rsid w:val="00D70291"/>
    <w:rsid w:val="00D71C95"/>
    <w:rsid w:val="00D72CDB"/>
    <w:rsid w:val="00D73C95"/>
    <w:rsid w:val="00D751A2"/>
    <w:rsid w:val="00D757E2"/>
    <w:rsid w:val="00D810D2"/>
    <w:rsid w:val="00D82F5F"/>
    <w:rsid w:val="00D85668"/>
    <w:rsid w:val="00D9740D"/>
    <w:rsid w:val="00DA0E25"/>
    <w:rsid w:val="00DB1E44"/>
    <w:rsid w:val="00DB5997"/>
    <w:rsid w:val="00DC479F"/>
    <w:rsid w:val="00DD0444"/>
    <w:rsid w:val="00DD135D"/>
    <w:rsid w:val="00DE0320"/>
    <w:rsid w:val="00DE08E5"/>
    <w:rsid w:val="00DE5619"/>
    <w:rsid w:val="00DE5B59"/>
    <w:rsid w:val="00DF14CE"/>
    <w:rsid w:val="00E0149B"/>
    <w:rsid w:val="00E025EF"/>
    <w:rsid w:val="00E14046"/>
    <w:rsid w:val="00E14622"/>
    <w:rsid w:val="00E174C0"/>
    <w:rsid w:val="00E22477"/>
    <w:rsid w:val="00E23BBD"/>
    <w:rsid w:val="00E25A96"/>
    <w:rsid w:val="00E25B3E"/>
    <w:rsid w:val="00E34A6F"/>
    <w:rsid w:val="00E3789B"/>
    <w:rsid w:val="00E37D34"/>
    <w:rsid w:val="00E44918"/>
    <w:rsid w:val="00E46432"/>
    <w:rsid w:val="00E467A2"/>
    <w:rsid w:val="00E54B1C"/>
    <w:rsid w:val="00E67874"/>
    <w:rsid w:val="00E72944"/>
    <w:rsid w:val="00E72C62"/>
    <w:rsid w:val="00E7512C"/>
    <w:rsid w:val="00E75F20"/>
    <w:rsid w:val="00E7605E"/>
    <w:rsid w:val="00E76D4E"/>
    <w:rsid w:val="00E828AB"/>
    <w:rsid w:val="00E82F9E"/>
    <w:rsid w:val="00E83A97"/>
    <w:rsid w:val="00E86B87"/>
    <w:rsid w:val="00E8717E"/>
    <w:rsid w:val="00E912EA"/>
    <w:rsid w:val="00EA45BE"/>
    <w:rsid w:val="00EA59B3"/>
    <w:rsid w:val="00EA7454"/>
    <w:rsid w:val="00EB0FA9"/>
    <w:rsid w:val="00EB143E"/>
    <w:rsid w:val="00EB1EEE"/>
    <w:rsid w:val="00EB23BC"/>
    <w:rsid w:val="00EB37CF"/>
    <w:rsid w:val="00EC1AB3"/>
    <w:rsid w:val="00EC3262"/>
    <w:rsid w:val="00EC784D"/>
    <w:rsid w:val="00EC7969"/>
    <w:rsid w:val="00ED43DF"/>
    <w:rsid w:val="00ED7836"/>
    <w:rsid w:val="00EE1B23"/>
    <w:rsid w:val="00EE4032"/>
    <w:rsid w:val="00EE5F83"/>
    <w:rsid w:val="00EF1791"/>
    <w:rsid w:val="00EF5A73"/>
    <w:rsid w:val="00F215F4"/>
    <w:rsid w:val="00F239ED"/>
    <w:rsid w:val="00F23F65"/>
    <w:rsid w:val="00F24256"/>
    <w:rsid w:val="00F27DB8"/>
    <w:rsid w:val="00F32A0B"/>
    <w:rsid w:val="00F34556"/>
    <w:rsid w:val="00F36F56"/>
    <w:rsid w:val="00F42F4E"/>
    <w:rsid w:val="00F473DF"/>
    <w:rsid w:val="00F47C1C"/>
    <w:rsid w:val="00F47EF6"/>
    <w:rsid w:val="00F52A00"/>
    <w:rsid w:val="00F5391E"/>
    <w:rsid w:val="00F54150"/>
    <w:rsid w:val="00F62B7D"/>
    <w:rsid w:val="00F70EC3"/>
    <w:rsid w:val="00F72122"/>
    <w:rsid w:val="00F72303"/>
    <w:rsid w:val="00F73CD2"/>
    <w:rsid w:val="00F800FA"/>
    <w:rsid w:val="00F80587"/>
    <w:rsid w:val="00F80A64"/>
    <w:rsid w:val="00F85A89"/>
    <w:rsid w:val="00F86641"/>
    <w:rsid w:val="00F91747"/>
    <w:rsid w:val="00FA0B2A"/>
    <w:rsid w:val="00FA3136"/>
    <w:rsid w:val="00FA44D0"/>
    <w:rsid w:val="00FA4748"/>
    <w:rsid w:val="00FA608F"/>
    <w:rsid w:val="00FB3CDB"/>
    <w:rsid w:val="00FB46C5"/>
    <w:rsid w:val="00FB5C9F"/>
    <w:rsid w:val="00FB6E01"/>
    <w:rsid w:val="00FC6723"/>
    <w:rsid w:val="00FD130B"/>
    <w:rsid w:val="00FD527F"/>
    <w:rsid w:val="00FD7B43"/>
    <w:rsid w:val="00FE58E3"/>
    <w:rsid w:val="00FE6CDA"/>
    <w:rsid w:val="00FF0201"/>
    <w:rsid w:val="00FF3EEB"/>
    <w:rsid w:val="00FF7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0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4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4A9D"/>
    <w:rPr>
      <w:rFonts w:ascii="Tahom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rsid w:val="007F29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54CE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7F2901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044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04471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37385"/>
    <w:rPr>
      <w:rFonts w:cs="Times New Roman"/>
    </w:rPr>
  </w:style>
  <w:style w:type="character" w:styleId="ab">
    <w:name w:val="Emphasis"/>
    <w:basedOn w:val="a0"/>
    <w:uiPriority w:val="99"/>
    <w:qFormat/>
    <w:locked/>
    <w:rsid w:val="00726E48"/>
    <w:rPr>
      <w:rFonts w:cs="Times New Roman"/>
      <w:i/>
      <w:iCs/>
    </w:rPr>
  </w:style>
  <w:style w:type="paragraph" w:customStyle="1" w:styleId="docdata">
    <w:name w:val="docdata"/>
    <w:aliases w:val="docy,v5,2046,baiaagaaboqcaaadjwyaaau1bgaaaaaaaaaaaaaaaaaaaaaaaaaaaaaaaaaaaaaaaaaaaaaaaaaaaaaaaaaaaaaaaaaaaaaaaaaaaaaaaaaaaaaaaaaaaaaaaaaaaaaaaaaaaaaaaaaaaaaaaaaaaaaaaaaaaaaaaaaaaaaaaaaaaaaaaaaaaaaaaaaaaaaaaaaaaaaaaaaaaaaaaaaaaaaaaaaaaaaaaaaaaaaa"/>
    <w:basedOn w:val="a"/>
    <w:rsid w:val="004F726B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0E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44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4A9D"/>
    <w:rPr>
      <w:rFonts w:ascii="Tahom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rsid w:val="007F29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954CE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7F2901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044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904471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A37385"/>
    <w:rPr>
      <w:rFonts w:cs="Times New Roman"/>
    </w:rPr>
  </w:style>
  <w:style w:type="character" w:styleId="ab">
    <w:name w:val="Emphasis"/>
    <w:basedOn w:val="a0"/>
    <w:uiPriority w:val="99"/>
    <w:qFormat/>
    <w:locked/>
    <w:rsid w:val="00726E48"/>
    <w:rPr>
      <w:rFonts w:cs="Times New Roman"/>
      <w:i/>
      <w:iCs/>
    </w:rPr>
  </w:style>
  <w:style w:type="paragraph" w:customStyle="1" w:styleId="docdata">
    <w:name w:val="docdata"/>
    <w:aliases w:val="docy,v5,2046,baiaagaaboqcaaadjwyaaau1bgaaaaaaaaaaaaaaaaaaaaaaaaaaaaaaaaaaaaaaaaaaaaaaaaaaaaaaaaaaaaaaaaaaaaaaaaaaaaaaaaaaaaaaaaaaaaaaaaaaaaaaaaaaaaaaaaaaaaaaaaaaaaaaaaaaaaaaaaaaaaaaaaaaaaaaaaaaaaaaaaaaaaaaaaaaaaaaaaaaaaaaaaaaaaaaaaaaaaaaaaaaaaaa"/>
    <w:basedOn w:val="a"/>
    <w:rsid w:val="004F726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64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0A44-045D-42B8-80D7-CD90D562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7766</Words>
  <Characters>4427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Reanimator Extreme Edition</Company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ZamDir</dc:creator>
  <cp:lastModifiedBy>Asus</cp:lastModifiedBy>
  <cp:revision>7</cp:revision>
  <cp:lastPrinted>2023-04-05T14:40:00Z</cp:lastPrinted>
  <dcterms:created xsi:type="dcterms:W3CDTF">2023-04-05T14:33:00Z</dcterms:created>
  <dcterms:modified xsi:type="dcterms:W3CDTF">2023-04-06T05:03:00Z</dcterms:modified>
</cp:coreProperties>
</file>