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4C5" w:rsidRPr="007657B6" w:rsidRDefault="007304C5" w:rsidP="00D52A10">
      <w:pPr>
        <w:ind w:firstLine="709"/>
        <w:jc w:val="center"/>
        <w:rPr>
          <w:b/>
          <w:sz w:val="27"/>
          <w:szCs w:val="27"/>
        </w:rPr>
      </w:pPr>
      <w:bookmarkStart w:id="0" w:name="_GoBack"/>
      <w:bookmarkEnd w:id="0"/>
      <w:r w:rsidRPr="007657B6">
        <w:rPr>
          <w:b/>
          <w:sz w:val="27"/>
          <w:szCs w:val="27"/>
        </w:rPr>
        <w:t>Звіт</w:t>
      </w:r>
    </w:p>
    <w:p w:rsidR="00CB1712" w:rsidRPr="007657B6" w:rsidRDefault="00CB1712" w:rsidP="00D52A10">
      <w:pPr>
        <w:ind w:firstLine="709"/>
        <w:jc w:val="center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>про</w:t>
      </w:r>
      <w:r w:rsidR="007304C5" w:rsidRPr="007657B6">
        <w:rPr>
          <w:b/>
          <w:sz w:val="27"/>
          <w:szCs w:val="27"/>
        </w:rPr>
        <w:t xml:space="preserve"> </w:t>
      </w:r>
      <w:r w:rsidRPr="007657B6">
        <w:rPr>
          <w:b/>
          <w:sz w:val="27"/>
          <w:szCs w:val="27"/>
        </w:rPr>
        <w:t xml:space="preserve"> </w:t>
      </w:r>
      <w:r w:rsidR="00AB4DFC" w:rsidRPr="007657B6">
        <w:rPr>
          <w:b/>
          <w:sz w:val="27"/>
          <w:szCs w:val="27"/>
        </w:rPr>
        <w:t xml:space="preserve">періодичне </w:t>
      </w:r>
      <w:r w:rsidRPr="007657B6">
        <w:rPr>
          <w:b/>
          <w:sz w:val="27"/>
          <w:szCs w:val="27"/>
        </w:rPr>
        <w:t>відстеження регуляторного акту</w:t>
      </w:r>
      <w:r w:rsidR="007304C5" w:rsidRPr="007657B6">
        <w:rPr>
          <w:b/>
          <w:sz w:val="27"/>
          <w:szCs w:val="27"/>
        </w:rPr>
        <w:t xml:space="preserve"> -</w:t>
      </w:r>
    </w:p>
    <w:p w:rsidR="006243D4" w:rsidRPr="007657B6" w:rsidRDefault="006243D4" w:rsidP="00D52A10">
      <w:pPr>
        <w:ind w:firstLine="709"/>
        <w:jc w:val="center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 xml:space="preserve">розпорядження </w:t>
      </w:r>
      <w:r w:rsidR="007761D2" w:rsidRPr="007657B6">
        <w:rPr>
          <w:b/>
          <w:sz w:val="27"/>
          <w:szCs w:val="27"/>
        </w:rPr>
        <w:t xml:space="preserve">Херсонського </w:t>
      </w:r>
      <w:r w:rsidRPr="007657B6">
        <w:rPr>
          <w:b/>
          <w:sz w:val="27"/>
          <w:szCs w:val="27"/>
        </w:rPr>
        <w:t>голови обласної державної адміністрації</w:t>
      </w:r>
    </w:p>
    <w:p w:rsidR="00191F65" w:rsidRPr="007657B6" w:rsidRDefault="00B45006" w:rsidP="00D52A10">
      <w:pPr>
        <w:ind w:firstLine="709"/>
        <w:jc w:val="center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>«</w:t>
      </w:r>
      <w:r w:rsidR="00191F65" w:rsidRPr="007657B6">
        <w:rPr>
          <w:b/>
          <w:sz w:val="27"/>
          <w:szCs w:val="27"/>
        </w:rPr>
        <w:t>Про встановлення граничних торговельних надбавок (націнок) на продукцію громадськог</w:t>
      </w:r>
      <w:r w:rsidR="007304C5" w:rsidRPr="007657B6">
        <w:rPr>
          <w:b/>
          <w:sz w:val="27"/>
          <w:szCs w:val="27"/>
        </w:rPr>
        <w:t xml:space="preserve">о харчування, що реалізується в </w:t>
      </w:r>
      <w:r w:rsidR="00191F65" w:rsidRPr="007657B6">
        <w:rPr>
          <w:b/>
          <w:sz w:val="27"/>
          <w:szCs w:val="27"/>
        </w:rPr>
        <w:t xml:space="preserve">загальноосвітніх, професійно-технічних та вищих навчальних </w:t>
      </w:r>
      <w:r w:rsidRPr="007657B6">
        <w:rPr>
          <w:b/>
          <w:sz w:val="27"/>
          <w:szCs w:val="27"/>
        </w:rPr>
        <w:t>закладах»</w:t>
      </w:r>
    </w:p>
    <w:p w:rsidR="00CB1712" w:rsidRPr="007657B6" w:rsidRDefault="00CB1712" w:rsidP="00D52A10">
      <w:pPr>
        <w:ind w:firstLine="709"/>
        <w:jc w:val="both"/>
        <w:rPr>
          <w:sz w:val="27"/>
          <w:szCs w:val="27"/>
        </w:rPr>
      </w:pPr>
    </w:p>
    <w:p w:rsidR="00596A40" w:rsidRPr="007657B6" w:rsidRDefault="00596A40" w:rsidP="00D52A10">
      <w:pPr>
        <w:ind w:firstLine="709"/>
        <w:jc w:val="both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 xml:space="preserve">1. </w:t>
      </w:r>
      <w:r w:rsidR="00B45006" w:rsidRPr="007657B6">
        <w:rPr>
          <w:b/>
          <w:sz w:val="27"/>
          <w:szCs w:val="27"/>
        </w:rPr>
        <w:t>Вид та назва регуляторного акта</w:t>
      </w:r>
    </w:p>
    <w:p w:rsidR="00F030FA" w:rsidRPr="007657B6" w:rsidRDefault="00596A40" w:rsidP="00D52A10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Розпорядження голови </w:t>
      </w:r>
      <w:r w:rsidR="007F125F" w:rsidRPr="007657B6">
        <w:rPr>
          <w:sz w:val="27"/>
          <w:szCs w:val="27"/>
        </w:rPr>
        <w:t xml:space="preserve">Херсонської </w:t>
      </w:r>
      <w:r w:rsidRPr="007657B6">
        <w:rPr>
          <w:sz w:val="27"/>
          <w:szCs w:val="27"/>
        </w:rPr>
        <w:t xml:space="preserve">обласної державної адміністрації </w:t>
      </w:r>
      <w:r w:rsidR="00F030FA" w:rsidRPr="007657B6">
        <w:rPr>
          <w:sz w:val="27"/>
          <w:szCs w:val="27"/>
        </w:rPr>
        <w:t xml:space="preserve">від </w:t>
      </w:r>
      <w:r w:rsidR="007F125F" w:rsidRPr="007657B6">
        <w:rPr>
          <w:sz w:val="27"/>
          <w:szCs w:val="27"/>
        </w:rPr>
        <w:t xml:space="preserve">            </w:t>
      </w:r>
      <w:r w:rsidR="00F030FA" w:rsidRPr="007657B6">
        <w:rPr>
          <w:sz w:val="27"/>
          <w:szCs w:val="27"/>
        </w:rPr>
        <w:t>07 лютого 2</w:t>
      </w:r>
      <w:r w:rsidR="00F076C1" w:rsidRPr="007657B6">
        <w:rPr>
          <w:sz w:val="27"/>
          <w:szCs w:val="27"/>
        </w:rPr>
        <w:t>0</w:t>
      </w:r>
      <w:r w:rsidR="00F030FA" w:rsidRPr="007657B6">
        <w:rPr>
          <w:sz w:val="27"/>
          <w:szCs w:val="27"/>
        </w:rPr>
        <w:t>14 року</w:t>
      </w:r>
      <w:r w:rsidR="007761D2" w:rsidRPr="007657B6">
        <w:rPr>
          <w:sz w:val="27"/>
          <w:szCs w:val="27"/>
        </w:rPr>
        <w:t xml:space="preserve"> № 70</w:t>
      </w:r>
      <w:r w:rsidR="00F030FA" w:rsidRPr="007657B6">
        <w:rPr>
          <w:sz w:val="27"/>
          <w:szCs w:val="27"/>
        </w:rPr>
        <w:t xml:space="preserve"> </w:t>
      </w:r>
      <w:r w:rsidR="000F1EE1" w:rsidRPr="007657B6">
        <w:rPr>
          <w:sz w:val="27"/>
          <w:szCs w:val="27"/>
        </w:rPr>
        <w:t>«</w:t>
      </w:r>
      <w:r w:rsidR="00F030FA" w:rsidRPr="007657B6">
        <w:rPr>
          <w:sz w:val="27"/>
          <w:szCs w:val="27"/>
        </w:rPr>
        <w:t>Про встановлення граничних торговельних надбавок (націнок) на продукцію громадського харчування, що реалізується в загальноосвітніх, професійно-технічних та вищих навчальних закладах</w:t>
      </w:r>
      <w:r w:rsidR="000F1EE1" w:rsidRPr="007657B6">
        <w:rPr>
          <w:sz w:val="27"/>
          <w:szCs w:val="27"/>
        </w:rPr>
        <w:t>», зареєстроване</w:t>
      </w:r>
      <w:r w:rsidR="00AB4DFC" w:rsidRPr="007657B6">
        <w:rPr>
          <w:sz w:val="27"/>
          <w:szCs w:val="27"/>
        </w:rPr>
        <w:t xml:space="preserve"> в Головному управлінні юстиції  у Херсонській області 19 лютого 2014 року за № 10/1461.</w:t>
      </w:r>
    </w:p>
    <w:p w:rsidR="00596A40" w:rsidRPr="007657B6" w:rsidRDefault="00596A40" w:rsidP="00D52A10">
      <w:pPr>
        <w:ind w:firstLine="709"/>
        <w:jc w:val="both"/>
        <w:rPr>
          <w:sz w:val="27"/>
          <w:szCs w:val="27"/>
        </w:rPr>
      </w:pPr>
    </w:p>
    <w:p w:rsidR="00596A40" w:rsidRPr="007657B6" w:rsidRDefault="00596A40" w:rsidP="00D52A10">
      <w:pPr>
        <w:ind w:firstLine="709"/>
        <w:jc w:val="both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 xml:space="preserve">2. Назва </w:t>
      </w:r>
      <w:r w:rsidR="00B45006" w:rsidRPr="007657B6">
        <w:rPr>
          <w:b/>
          <w:sz w:val="27"/>
          <w:szCs w:val="27"/>
        </w:rPr>
        <w:t>виконавця заходів з відстеження</w:t>
      </w:r>
    </w:p>
    <w:p w:rsidR="001B1DF0" w:rsidRPr="007657B6" w:rsidRDefault="00243B26" w:rsidP="00D52A10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 </w:t>
      </w:r>
      <w:r w:rsidR="00596A40" w:rsidRPr="007657B6">
        <w:rPr>
          <w:sz w:val="27"/>
          <w:szCs w:val="27"/>
        </w:rPr>
        <w:t xml:space="preserve">Відділ </w:t>
      </w:r>
      <w:r w:rsidR="00941772" w:rsidRPr="007657B6">
        <w:rPr>
          <w:sz w:val="27"/>
          <w:szCs w:val="27"/>
        </w:rPr>
        <w:t>торгівлі, регуляторної політики та адміністративних послуг            у</w:t>
      </w:r>
      <w:r w:rsidR="00F076C1" w:rsidRPr="007657B6">
        <w:rPr>
          <w:sz w:val="27"/>
          <w:szCs w:val="27"/>
        </w:rPr>
        <w:t>правління розвитку підприємництва та торгівлі Департаменту економічного розвитку та торгівлі обласної державної адміністрації</w:t>
      </w:r>
      <w:r w:rsidR="00941772" w:rsidRPr="007657B6">
        <w:rPr>
          <w:sz w:val="27"/>
          <w:szCs w:val="27"/>
        </w:rPr>
        <w:t>.</w:t>
      </w:r>
    </w:p>
    <w:p w:rsidR="00F076C1" w:rsidRPr="007657B6" w:rsidRDefault="00F076C1" w:rsidP="00D52A10">
      <w:pPr>
        <w:ind w:firstLine="709"/>
        <w:jc w:val="both"/>
        <w:rPr>
          <w:sz w:val="27"/>
          <w:szCs w:val="27"/>
        </w:rPr>
      </w:pPr>
    </w:p>
    <w:p w:rsidR="00596A40" w:rsidRPr="007657B6" w:rsidRDefault="001B1DF0" w:rsidP="00D52A10">
      <w:pPr>
        <w:ind w:firstLine="709"/>
        <w:jc w:val="both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>3</w:t>
      </w:r>
      <w:r w:rsidR="00596A40" w:rsidRPr="007657B6">
        <w:rPr>
          <w:b/>
          <w:sz w:val="27"/>
          <w:szCs w:val="27"/>
        </w:rPr>
        <w:t xml:space="preserve">. </w:t>
      </w:r>
      <w:r w:rsidR="00B45006" w:rsidRPr="007657B6">
        <w:rPr>
          <w:b/>
          <w:sz w:val="27"/>
          <w:szCs w:val="27"/>
        </w:rPr>
        <w:t>Цілі прийняття акта</w:t>
      </w:r>
    </w:p>
    <w:p w:rsidR="00596A40" w:rsidRPr="007657B6" w:rsidRDefault="00596A40" w:rsidP="00D52A10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Цілями прийняття регуляторного акта є:</w:t>
      </w:r>
    </w:p>
    <w:p w:rsidR="00596A40" w:rsidRPr="007657B6" w:rsidRDefault="00596A40" w:rsidP="002F26D7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1) запровадження ефективного та прозорого державного регулювання</w:t>
      </w:r>
      <w:r w:rsidR="00005584" w:rsidRPr="007657B6">
        <w:rPr>
          <w:sz w:val="27"/>
          <w:szCs w:val="27"/>
        </w:rPr>
        <w:t xml:space="preserve"> ц</w:t>
      </w:r>
      <w:r w:rsidRPr="007657B6">
        <w:rPr>
          <w:sz w:val="27"/>
          <w:szCs w:val="27"/>
        </w:rPr>
        <w:t>іноутворення на продукцію громадського харчування, що реалізується в</w:t>
      </w:r>
      <w:r w:rsidR="00005584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>загальноосвітніх, професійно-технічних та вищих навчальних закладах;</w:t>
      </w:r>
    </w:p>
    <w:p w:rsidR="00596A40" w:rsidRPr="007657B6" w:rsidRDefault="00596A40" w:rsidP="006B3320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2) врегулювання питань </w:t>
      </w:r>
      <w:r w:rsidR="006B3320" w:rsidRPr="007657B6">
        <w:rPr>
          <w:sz w:val="27"/>
          <w:szCs w:val="27"/>
        </w:rPr>
        <w:t xml:space="preserve">щодо </w:t>
      </w:r>
      <w:r w:rsidRPr="007657B6">
        <w:rPr>
          <w:sz w:val="27"/>
          <w:szCs w:val="27"/>
        </w:rPr>
        <w:t>покращення забезпечення учнів, вихованців,</w:t>
      </w:r>
      <w:r w:rsidR="00005584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>студентів загальноосвітніх, професійно-технічних та вищих навчальних закладів</w:t>
      </w:r>
      <w:r w:rsidR="006B3320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>області продукцією громадського харчування;</w:t>
      </w:r>
    </w:p>
    <w:p w:rsidR="00596A40" w:rsidRPr="007657B6" w:rsidRDefault="00596A40" w:rsidP="002F26D7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3)</w:t>
      </w:r>
      <w:r w:rsidR="002F26D7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>забезпечення беззбиткової діяльності підприємств громадського</w:t>
      </w:r>
      <w:r w:rsidR="00005584" w:rsidRPr="007657B6">
        <w:rPr>
          <w:sz w:val="27"/>
          <w:szCs w:val="27"/>
        </w:rPr>
        <w:t xml:space="preserve"> х</w:t>
      </w:r>
      <w:r w:rsidRPr="007657B6">
        <w:rPr>
          <w:sz w:val="27"/>
          <w:szCs w:val="27"/>
        </w:rPr>
        <w:t xml:space="preserve">арчування (підрозділів </w:t>
      </w:r>
      <w:r w:rsidR="00B4046B" w:rsidRPr="007657B6">
        <w:rPr>
          <w:sz w:val="27"/>
          <w:szCs w:val="27"/>
        </w:rPr>
        <w:t xml:space="preserve">в </w:t>
      </w:r>
      <w:r w:rsidRPr="007657B6">
        <w:rPr>
          <w:sz w:val="27"/>
          <w:szCs w:val="27"/>
        </w:rPr>
        <w:t>учбових заклад</w:t>
      </w:r>
      <w:r w:rsidR="00B4046B" w:rsidRPr="007657B6">
        <w:rPr>
          <w:sz w:val="27"/>
          <w:szCs w:val="27"/>
        </w:rPr>
        <w:t>ах</w:t>
      </w:r>
      <w:r w:rsidRPr="007657B6">
        <w:rPr>
          <w:sz w:val="27"/>
          <w:szCs w:val="27"/>
        </w:rPr>
        <w:t>).</w:t>
      </w:r>
    </w:p>
    <w:p w:rsidR="00005584" w:rsidRPr="007657B6" w:rsidRDefault="007761D2" w:rsidP="002F26D7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4) дотримання належного рівня соціального захисту споживачів продукції</w:t>
      </w:r>
      <w:r w:rsidR="002F26D7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>громадського харчування.</w:t>
      </w:r>
    </w:p>
    <w:p w:rsidR="007761D2" w:rsidRPr="007657B6" w:rsidRDefault="007761D2" w:rsidP="007761D2">
      <w:pPr>
        <w:ind w:firstLine="709"/>
        <w:jc w:val="both"/>
        <w:rPr>
          <w:sz w:val="27"/>
          <w:szCs w:val="27"/>
        </w:rPr>
      </w:pPr>
    </w:p>
    <w:p w:rsidR="00596A40" w:rsidRPr="007657B6" w:rsidRDefault="00596A40" w:rsidP="00D52A10">
      <w:pPr>
        <w:ind w:firstLine="709"/>
        <w:jc w:val="both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 xml:space="preserve">4. Строк </w:t>
      </w:r>
      <w:r w:rsidR="00B45006" w:rsidRPr="007657B6">
        <w:rPr>
          <w:b/>
          <w:sz w:val="27"/>
          <w:szCs w:val="27"/>
        </w:rPr>
        <w:t>виконання заходів з відстеження</w:t>
      </w:r>
    </w:p>
    <w:p w:rsidR="00596A40" w:rsidRPr="007657B6" w:rsidRDefault="00B4046B" w:rsidP="00D52A10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        Травень - червень</w:t>
      </w:r>
      <w:r w:rsidR="00596A40" w:rsidRPr="007657B6">
        <w:rPr>
          <w:sz w:val="27"/>
          <w:szCs w:val="27"/>
        </w:rPr>
        <w:t xml:space="preserve"> 201</w:t>
      </w:r>
      <w:r w:rsidRPr="007657B6">
        <w:rPr>
          <w:sz w:val="27"/>
          <w:szCs w:val="27"/>
        </w:rPr>
        <w:t>8</w:t>
      </w:r>
      <w:r w:rsidR="00596A40" w:rsidRPr="007657B6">
        <w:rPr>
          <w:sz w:val="27"/>
          <w:szCs w:val="27"/>
        </w:rPr>
        <w:t xml:space="preserve"> року.</w:t>
      </w:r>
    </w:p>
    <w:p w:rsidR="001851E8" w:rsidRPr="007657B6" w:rsidRDefault="001851E8" w:rsidP="00D52A10">
      <w:pPr>
        <w:ind w:firstLine="709"/>
        <w:jc w:val="both"/>
        <w:rPr>
          <w:sz w:val="27"/>
          <w:szCs w:val="27"/>
        </w:rPr>
      </w:pPr>
    </w:p>
    <w:p w:rsidR="00596A40" w:rsidRPr="007657B6" w:rsidRDefault="00596A40" w:rsidP="00D52A10">
      <w:pPr>
        <w:ind w:firstLine="709"/>
        <w:jc w:val="both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 xml:space="preserve">5. </w:t>
      </w:r>
      <w:r w:rsidR="00B45006" w:rsidRPr="007657B6">
        <w:rPr>
          <w:b/>
          <w:sz w:val="27"/>
          <w:szCs w:val="27"/>
        </w:rPr>
        <w:t>Тип відстеження</w:t>
      </w:r>
    </w:p>
    <w:p w:rsidR="00596A40" w:rsidRPr="007657B6" w:rsidRDefault="001851E8" w:rsidP="00D52A10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        </w:t>
      </w:r>
      <w:r w:rsidR="00596A40" w:rsidRPr="007657B6">
        <w:rPr>
          <w:sz w:val="27"/>
          <w:szCs w:val="27"/>
        </w:rPr>
        <w:t>Періодичне.</w:t>
      </w:r>
    </w:p>
    <w:p w:rsidR="00657FFC" w:rsidRPr="007657B6" w:rsidRDefault="00657FFC" w:rsidP="00D52A10">
      <w:pPr>
        <w:ind w:firstLine="709"/>
        <w:jc w:val="both"/>
        <w:rPr>
          <w:b/>
          <w:sz w:val="27"/>
          <w:szCs w:val="27"/>
        </w:rPr>
      </w:pPr>
    </w:p>
    <w:p w:rsidR="00596A40" w:rsidRPr="007657B6" w:rsidRDefault="00596A40" w:rsidP="00D52A10">
      <w:pPr>
        <w:ind w:firstLine="709"/>
        <w:jc w:val="both"/>
        <w:rPr>
          <w:sz w:val="27"/>
          <w:szCs w:val="27"/>
        </w:rPr>
      </w:pPr>
      <w:r w:rsidRPr="007657B6">
        <w:rPr>
          <w:b/>
          <w:sz w:val="27"/>
          <w:szCs w:val="27"/>
        </w:rPr>
        <w:t>6. Методи одержання результатів відстеження</w:t>
      </w:r>
    </w:p>
    <w:p w:rsidR="00E05279" w:rsidRPr="007657B6" w:rsidRDefault="001335A9" w:rsidP="00E05279">
      <w:pPr>
        <w:ind w:firstLine="708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  </w:t>
      </w:r>
      <w:r w:rsidR="003D3347" w:rsidRPr="007657B6">
        <w:rPr>
          <w:sz w:val="27"/>
          <w:szCs w:val="27"/>
        </w:rPr>
        <w:t>Періодичне відстеження результативності регуляторного акту здійснювалось з урахуванням вимог ст</w:t>
      </w:r>
      <w:r w:rsidR="006B3320" w:rsidRPr="007657B6">
        <w:rPr>
          <w:sz w:val="27"/>
          <w:szCs w:val="27"/>
        </w:rPr>
        <w:t>.</w:t>
      </w:r>
      <w:r w:rsidR="003D3347" w:rsidRPr="007657B6">
        <w:rPr>
          <w:sz w:val="27"/>
          <w:szCs w:val="27"/>
        </w:rPr>
        <w:t xml:space="preserve"> 1 та 10 Закону України «Про засади державної регуляторної політики у сфері господарської діяльності», зокрема шляхом опрацювання інформацій Департаменту освіти, науки та молоді</w:t>
      </w:r>
      <w:r w:rsidR="00690837" w:rsidRPr="007657B6">
        <w:rPr>
          <w:sz w:val="27"/>
          <w:szCs w:val="27"/>
        </w:rPr>
        <w:t xml:space="preserve"> облдержадміністрації</w:t>
      </w:r>
      <w:r w:rsidR="003D3347" w:rsidRPr="007657B6">
        <w:rPr>
          <w:sz w:val="27"/>
          <w:szCs w:val="27"/>
        </w:rPr>
        <w:t xml:space="preserve"> та </w:t>
      </w:r>
      <w:r w:rsidR="00690837" w:rsidRPr="007657B6">
        <w:rPr>
          <w:sz w:val="27"/>
          <w:szCs w:val="27"/>
        </w:rPr>
        <w:t xml:space="preserve">управління освіти Херсонського міськвиконкому </w:t>
      </w:r>
      <w:r w:rsidR="003D3347" w:rsidRPr="007657B6">
        <w:rPr>
          <w:sz w:val="27"/>
          <w:szCs w:val="27"/>
        </w:rPr>
        <w:t xml:space="preserve"> щодо стану організац</w:t>
      </w:r>
      <w:r w:rsidR="00690837" w:rsidRPr="007657B6">
        <w:rPr>
          <w:sz w:val="27"/>
          <w:szCs w:val="27"/>
        </w:rPr>
        <w:t>ії харчування у закладах освіти</w:t>
      </w:r>
      <w:r w:rsidR="006B3320" w:rsidRPr="007657B6">
        <w:rPr>
          <w:sz w:val="27"/>
          <w:szCs w:val="27"/>
        </w:rPr>
        <w:t xml:space="preserve"> м. Херсона та в області. Також методом </w:t>
      </w:r>
      <w:r w:rsidR="003D3347" w:rsidRPr="007657B6">
        <w:rPr>
          <w:sz w:val="27"/>
          <w:szCs w:val="27"/>
        </w:rPr>
        <w:t>опитування суб’єктів господарювання, які проводять діяльність у сфері громадського харчування та надають послуги з організації харчування учнів в загальноосвітніх та професійно-</w:t>
      </w:r>
      <w:r w:rsidR="003D3347" w:rsidRPr="007657B6">
        <w:rPr>
          <w:sz w:val="27"/>
          <w:szCs w:val="27"/>
        </w:rPr>
        <w:lastRenderedPageBreak/>
        <w:t xml:space="preserve">технічних навчальних закладах </w:t>
      </w:r>
      <w:r w:rsidR="009826D6" w:rsidRPr="007657B6">
        <w:rPr>
          <w:sz w:val="27"/>
          <w:szCs w:val="27"/>
        </w:rPr>
        <w:t xml:space="preserve">ТОВ «Сервіс Гранд», ТОВ «Світ школяра» та </w:t>
      </w:r>
      <w:r w:rsidR="007657B6">
        <w:rPr>
          <w:sz w:val="27"/>
          <w:szCs w:val="27"/>
        </w:rPr>
        <w:t xml:space="preserve">                  </w:t>
      </w:r>
      <w:r w:rsidR="009826D6" w:rsidRPr="007657B6">
        <w:rPr>
          <w:sz w:val="27"/>
          <w:szCs w:val="27"/>
        </w:rPr>
        <w:t xml:space="preserve">МКП «Істок» </w:t>
      </w:r>
      <w:r w:rsidR="00690837" w:rsidRPr="007657B6">
        <w:rPr>
          <w:sz w:val="27"/>
          <w:szCs w:val="27"/>
        </w:rPr>
        <w:t>(</w:t>
      </w:r>
      <w:r w:rsidR="006346DC" w:rsidRPr="007657B6">
        <w:rPr>
          <w:sz w:val="27"/>
          <w:szCs w:val="27"/>
        </w:rPr>
        <w:t>направлено лист</w:t>
      </w:r>
      <w:r w:rsidR="006B3320" w:rsidRPr="007657B6">
        <w:rPr>
          <w:sz w:val="27"/>
          <w:szCs w:val="27"/>
        </w:rPr>
        <w:t>и</w:t>
      </w:r>
      <w:r w:rsidR="00690837" w:rsidRPr="007657B6">
        <w:rPr>
          <w:sz w:val="27"/>
          <w:szCs w:val="27"/>
        </w:rPr>
        <w:t xml:space="preserve"> від 21 травня 2018 року </w:t>
      </w:r>
      <w:r w:rsidR="00AD33D0" w:rsidRPr="007657B6">
        <w:rPr>
          <w:sz w:val="27"/>
          <w:szCs w:val="27"/>
        </w:rPr>
        <w:t>№ 03-10-587/0/18/311.1)</w:t>
      </w:r>
      <w:r w:rsidR="006801AE" w:rsidRPr="007657B6">
        <w:rPr>
          <w:sz w:val="27"/>
          <w:szCs w:val="27"/>
        </w:rPr>
        <w:t xml:space="preserve"> з метою аналізу </w:t>
      </w:r>
      <w:r w:rsidR="00E05279" w:rsidRPr="007657B6">
        <w:rPr>
          <w:sz w:val="27"/>
          <w:szCs w:val="27"/>
        </w:rPr>
        <w:t>динаміки показників , що визначають сере</w:t>
      </w:r>
      <w:r w:rsidR="007657B6">
        <w:rPr>
          <w:sz w:val="27"/>
          <w:szCs w:val="27"/>
        </w:rPr>
        <w:t>д</w:t>
      </w:r>
      <w:r w:rsidR="00E05279" w:rsidRPr="007657B6">
        <w:rPr>
          <w:sz w:val="27"/>
          <w:szCs w:val="27"/>
        </w:rPr>
        <w:t>ній фактичний рівень торговельної надбавки (націнки) на продукцію громадського харчування власного виробництва, що реалізується в навчальних закладах.</w:t>
      </w:r>
    </w:p>
    <w:p w:rsidR="001C770F" w:rsidRPr="007657B6" w:rsidRDefault="0026169A" w:rsidP="00E0527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Письмова і</w:t>
      </w:r>
      <w:r w:rsidR="001C770F" w:rsidRPr="007657B6">
        <w:rPr>
          <w:sz w:val="27"/>
          <w:szCs w:val="27"/>
        </w:rPr>
        <w:t xml:space="preserve">нформація від суб’єктів господарювання до Департаменту не надходила. </w:t>
      </w:r>
      <w:r w:rsidR="00C71E31" w:rsidRPr="007657B6">
        <w:rPr>
          <w:sz w:val="27"/>
          <w:szCs w:val="27"/>
        </w:rPr>
        <w:t>Тому зробити періодичне від</w:t>
      </w:r>
      <w:r w:rsidR="000311DA" w:rsidRPr="007657B6">
        <w:rPr>
          <w:sz w:val="27"/>
          <w:szCs w:val="27"/>
        </w:rPr>
        <w:t>сте</w:t>
      </w:r>
      <w:r w:rsidR="00C71E31" w:rsidRPr="007657B6">
        <w:rPr>
          <w:sz w:val="27"/>
          <w:szCs w:val="27"/>
        </w:rPr>
        <w:t xml:space="preserve">ження на основі показників і даних, визначених під час проведення аналізу регуляторного впливу регуляторного акта не було можливості. </w:t>
      </w:r>
    </w:p>
    <w:p w:rsidR="001C770F" w:rsidRPr="007657B6" w:rsidRDefault="001C770F" w:rsidP="00AD33D0">
      <w:pPr>
        <w:autoSpaceDE w:val="0"/>
        <w:autoSpaceDN w:val="0"/>
        <w:adjustRightInd w:val="0"/>
        <w:ind w:firstLine="708"/>
        <w:jc w:val="both"/>
        <w:rPr>
          <w:b/>
          <w:sz w:val="27"/>
          <w:szCs w:val="27"/>
        </w:rPr>
      </w:pPr>
    </w:p>
    <w:p w:rsidR="00596A40" w:rsidRPr="007657B6" w:rsidRDefault="00596A40" w:rsidP="00AD33D0">
      <w:pPr>
        <w:autoSpaceDE w:val="0"/>
        <w:autoSpaceDN w:val="0"/>
        <w:adjustRightInd w:val="0"/>
        <w:ind w:firstLine="708"/>
        <w:jc w:val="both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>7.</w:t>
      </w:r>
      <w:r w:rsidR="00B14A61" w:rsidRPr="007657B6">
        <w:rPr>
          <w:b/>
          <w:sz w:val="27"/>
          <w:szCs w:val="27"/>
        </w:rPr>
        <w:t xml:space="preserve"> </w:t>
      </w:r>
      <w:r w:rsidRPr="007657B6">
        <w:rPr>
          <w:b/>
          <w:sz w:val="27"/>
          <w:szCs w:val="27"/>
        </w:rPr>
        <w:t>Дані, на основі яких проводило</w:t>
      </w:r>
      <w:r w:rsidR="00B45006" w:rsidRPr="007657B6">
        <w:rPr>
          <w:b/>
          <w:sz w:val="27"/>
          <w:szCs w:val="27"/>
        </w:rPr>
        <w:t>ся відстеження результативності</w:t>
      </w:r>
    </w:p>
    <w:p w:rsidR="00404067" w:rsidRPr="007657B6" w:rsidRDefault="0074618A" w:rsidP="0074618A">
      <w:pPr>
        <w:pStyle w:val="a7"/>
        <w:keepNext/>
        <w:widowControl w:val="0"/>
        <w:spacing w:line="240" w:lineRule="auto"/>
        <w:ind w:firstLine="709"/>
        <w:rPr>
          <w:spacing w:val="0"/>
          <w:sz w:val="27"/>
          <w:szCs w:val="27"/>
        </w:rPr>
      </w:pPr>
      <w:r w:rsidRPr="007657B6">
        <w:rPr>
          <w:spacing w:val="0"/>
          <w:sz w:val="27"/>
          <w:szCs w:val="27"/>
        </w:rPr>
        <w:t>Відстеж</w:t>
      </w:r>
      <w:r w:rsidR="00A30C92" w:rsidRPr="007657B6">
        <w:rPr>
          <w:spacing w:val="0"/>
          <w:sz w:val="27"/>
          <w:szCs w:val="27"/>
        </w:rPr>
        <w:t>ення результативності зазначеного розпорядження</w:t>
      </w:r>
      <w:r w:rsidRPr="007657B6">
        <w:rPr>
          <w:spacing w:val="0"/>
          <w:sz w:val="27"/>
          <w:szCs w:val="27"/>
        </w:rPr>
        <w:t xml:space="preserve"> проведено </w:t>
      </w:r>
      <w:r w:rsidR="00A336D0">
        <w:rPr>
          <w:spacing w:val="0"/>
          <w:sz w:val="27"/>
          <w:szCs w:val="27"/>
        </w:rPr>
        <w:t xml:space="preserve">з урахуванням </w:t>
      </w:r>
      <w:r w:rsidRPr="007657B6">
        <w:rPr>
          <w:spacing w:val="0"/>
          <w:sz w:val="27"/>
          <w:szCs w:val="27"/>
        </w:rPr>
        <w:t xml:space="preserve">офіційних статистичних даних про середні роздрібні ціни на основні продовольчі товари, індексів цін на </w:t>
      </w:r>
      <w:r w:rsidR="006F66C9" w:rsidRPr="007657B6">
        <w:rPr>
          <w:spacing w:val="0"/>
          <w:sz w:val="27"/>
          <w:szCs w:val="27"/>
        </w:rPr>
        <w:t xml:space="preserve">споживчі ціни </w:t>
      </w:r>
      <w:r w:rsidRPr="007657B6">
        <w:rPr>
          <w:spacing w:val="0"/>
          <w:sz w:val="27"/>
          <w:szCs w:val="27"/>
        </w:rPr>
        <w:t xml:space="preserve"> в області за </w:t>
      </w:r>
      <w:r w:rsidR="002229F0" w:rsidRPr="007657B6">
        <w:rPr>
          <w:spacing w:val="0"/>
          <w:sz w:val="27"/>
          <w:szCs w:val="27"/>
        </w:rPr>
        <w:t>період ІІ півріччя 2015 року</w:t>
      </w:r>
      <w:r w:rsidRPr="007657B6">
        <w:rPr>
          <w:spacing w:val="0"/>
          <w:sz w:val="27"/>
          <w:szCs w:val="27"/>
        </w:rPr>
        <w:t xml:space="preserve"> – </w:t>
      </w:r>
      <w:r w:rsidR="002229F0" w:rsidRPr="007657B6">
        <w:rPr>
          <w:spacing w:val="0"/>
          <w:sz w:val="27"/>
          <w:szCs w:val="27"/>
        </w:rPr>
        <w:t>І квартал 2018</w:t>
      </w:r>
      <w:r w:rsidRPr="007657B6">
        <w:rPr>
          <w:spacing w:val="0"/>
          <w:sz w:val="27"/>
          <w:szCs w:val="27"/>
        </w:rPr>
        <w:t xml:space="preserve"> року, інформаці</w:t>
      </w:r>
      <w:r w:rsidR="00BE72F4" w:rsidRPr="007657B6">
        <w:rPr>
          <w:spacing w:val="0"/>
          <w:sz w:val="27"/>
          <w:szCs w:val="27"/>
        </w:rPr>
        <w:t>ї</w:t>
      </w:r>
      <w:r w:rsidRPr="007657B6">
        <w:rPr>
          <w:spacing w:val="0"/>
          <w:sz w:val="27"/>
          <w:szCs w:val="27"/>
        </w:rPr>
        <w:t xml:space="preserve"> </w:t>
      </w:r>
      <w:r w:rsidR="00BE72F4" w:rsidRPr="007657B6">
        <w:rPr>
          <w:spacing w:val="0"/>
          <w:sz w:val="27"/>
          <w:szCs w:val="27"/>
        </w:rPr>
        <w:t xml:space="preserve">управління освіти Херсонської міської ради </w:t>
      </w:r>
      <w:r w:rsidRPr="007657B6">
        <w:rPr>
          <w:spacing w:val="0"/>
          <w:sz w:val="27"/>
          <w:szCs w:val="27"/>
        </w:rPr>
        <w:t xml:space="preserve">щодо </w:t>
      </w:r>
      <w:r w:rsidR="006F66C9" w:rsidRPr="007657B6">
        <w:rPr>
          <w:spacing w:val="0"/>
          <w:sz w:val="27"/>
          <w:szCs w:val="27"/>
        </w:rPr>
        <w:t xml:space="preserve">вартості харчування </w:t>
      </w:r>
      <w:r w:rsidRPr="007657B6">
        <w:rPr>
          <w:spacing w:val="0"/>
          <w:sz w:val="27"/>
          <w:szCs w:val="27"/>
        </w:rPr>
        <w:t xml:space="preserve"> </w:t>
      </w:r>
      <w:r w:rsidR="006F66C9" w:rsidRPr="007657B6">
        <w:rPr>
          <w:spacing w:val="0"/>
          <w:sz w:val="27"/>
          <w:szCs w:val="27"/>
        </w:rPr>
        <w:t xml:space="preserve">для окремих категорій учнів у загальноосвітніх та спеціальних начальних </w:t>
      </w:r>
      <w:r w:rsidR="00CA4FC5" w:rsidRPr="007657B6">
        <w:rPr>
          <w:spacing w:val="0"/>
          <w:sz w:val="27"/>
          <w:szCs w:val="27"/>
        </w:rPr>
        <w:t xml:space="preserve">закладах міста та </w:t>
      </w:r>
      <w:r w:rsidR="00BE72F4" w:rsidRPr="007657B6">
        <w:rPr>
          <w:spacing w:val="0"/>
          <w:sz w:val="27"/>
          <w:szCs w:val="27"/>
        </w:rPr>
        <w:t xml:space="preserve"> даних моніторингу </w:t>
      </w:r>
      <w:r w:rsidR="00B216AC" w:rsidRPr="007657B6">
        <w:rPr>
          <w:spacing w:val="0"/>
          <w:sz w:val="27"/>
          <w:szCs w:val="27"/>
        </w:rPr>
        <w:t xml:space="preserve"> </w:t>
      </w:r>
      <w:r w:rsidR="00BE72F4" w:rsidRPr="007657B6">
        <w:rPr>
          <w:spacing w:val="0"/>
          <w:sz w:val="27"/>
          <w:szCs w:val="27"/>
        </w:rPr>
        <w:t xml:space="preserve">діючих регулювань на продукцію громадського харчування в загальноосвітніх закладах </w:t>
      </w:r>
      <w:r w:rsidR="003D0089" w:rsidRPr="007657B6">
        <w:rPr>
          <w:spacing w:val="0"/>
          <w:sz w:val="27"/>
          <w:szCs w:val="27"/>
        </w:rPr>
        <w:t>в інших регіонах</w:t>
      </w:r>
      <w:r w:rsidR="00CA4FC5" w:rsidRPr="007657B6">
        <w:rPr>
          <w:spacing w:val="0"/>
          <w:sz w:val="27"/>
          <w:szCs w:val="27"/>
        </w:rPr>
        <w:t xml:space="preserve"> (Сумська, Миколаївська, Івано-Франківська, Тернопільська та Київська області)</w:t>
      </w:r>
      <w:r w:rsidR="00B216AC" w:rsidRPr="007657B6">
        <w:rPr>
          <w:spacing w:val="0"/>
          <w:sz w:val="27"/>
          <w:szCs w:val="27"/>
        </w:rPr>
        <w:t>.</w:t>
      </w:r>
    </w:p>
    <w:p w:rsidR="007065F6" w:rsidRPr="007657B6" w:rsidRDefault="007065F6" w:rsidP="007065F6">
      <w:pPr>
        <w:rPr>
          <w:sz w:val="27"/>
          <w:szCs w:val="27"/>
        </w:rPr>
      </w:pPr>
    </w:p>
    <w:p w:rsidR="00596A40" w:rsidRPr="007657B6" w:rsidRDefault="00596A40" w:rsidP="00D52A10">
      <w:pPr>
        <w:ind w:firstLine="709"/>
        <w:jc w:val="both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>8. Кількісні та якісні значення п</w:t>
      </w:r>
      <w:r w:rsidR="00B45006" w:rsidRPr="007657B6">
        <w:rPr>
          <w:b/>
          <w:sz w:val="27"/>
          <w:szCs w:val="27"/>
        </w:rPr>
        <w:t>оказників результативності акта</w:t>
      </w:r>
    </w:p>
    <w:p w:rsidR="000A4B0C" w:rsidRPr="007657B6" w:rsidRDefault="00AF4912" w:rsidP="00BC73B9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Основним п</w:t>
      </w:r>
      <w:r w:rsidR="003D25FD" w:rsidRPr="007657B6">
        <w:rPr>
          <w:sz w:val="27"/>
          <w:szCs w:val="27"/>
        </w:rPr>
        <w:t xml:space="preserve">оказником результативності регуляторного акта є </w:t>
      </w:r>
      <w:r w:rsidR="000A4B0C" w:rsidRPr="007657B6">
        <w:rPr>
          <w:sz w:val="27"/>
          <w:szCs w:val="27"/>
        </w:rPr>
        <w:t xml:space="preserve"> встановлення</w:t>
      </w:r>
      <w:r w:rsidR="00BC73B9">
        <w:rPr>
          <w:sz w:val="27"/>
          <w:szCs w:val="27"/>
        </w:rPr>
        <w:t xml:space="preserve"> </w:t>
      </w:r>
      <w:r w:rsidR="000A4B0C" w:rsidRPr="007657B6">
        <w:rPr>
          <w:sz w:val="27"/>
          <w:szCs w:val="27"/>
        </w:rPr>
        <w:t xml:space="preserve">економічно обґрунтованих цін на продукцію громадського харчування, </w:t>
      </w:r>
      <w:r w:rsidR="00DA31C4" w:rsidRPr="007657B6">
        <w:rPr>
          <w:sz w:val="27"/>
          <w:szCs w:val="27"/>
        </w:rPr>
        <w:t>спрямоване на</w:t>
      </w:r>
      <w:r w:rsidR="00154964" w:rsidRPr="007657B6">
        <w:rPr>
          <w:sz w:val="27"/>
          <w:szCs w:val="27"/>
        </w:rPr>
        <w:t>: соціальне задоволення інтересів учнів навчальних закладів, стриман</w:t>
      </w:r>
      <w:r w:rsidR="006C5D5B" w:rsidRPr="007657B6">
        <w:rPr>
          <w:sz w:val="27"/>
          <w:szCs w:val="27"/>
        </w:rPr>
        <w:t>н</w:t>
      </w:r>
      <w:r w:rsidR="00154964" w:rsidRPr="007657B6">
        <w:rPr>
          <w:sz w:val="27"/>
          <w:szCs w:val="27"/>
        </w:rPr>
        <w:t xml:space="preserve">я необґрунтованого зростання цін на продукти харчування, </w:t>
      </w:r>
      <w:r w:rsidR="000A4B0C" w:rsidRPr="007657B6">
        <w:rPr>
          <w:sz w:val="27"/>
          <w:szCs w:val="27"/>
        </w:rPr>
        <w:t>зростання обсягів реалізації продукції громадського харчування, збільшення кількості учнів та студентів, охоплених харчуванням за доступними цінами.</w:t>
      </w:r>
    </w:p>
    <w:p w:rsidR="003D25FD" w:rsidRPr="007657B6" w:rsidRDefault="003D25FD" w:rsidP="003D25FD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Розпорядженням </w:t>
      </w:r>
      <w:r w:rsidR="009C4640" w:rsidRPr="007657B6">
        <w:rPr>
          <w:sz w:val="27"/>
          <w:szCs w:val="27"/>
        </w:rPr>
        <w:t xml:space="preserve">голови Херсонської обласної державної адміністрації від             07 лютого 2014 року № 70 «Про встановлення граничних торговельних надбавок (націнок) на продукцію громадського харчування, що реалізується в загальноосвітніх, професійно-технічних та вищих навчальних закладах» </w:t>
      </w:r>
      <w:r w:rsidRPr="007657B6">
        <w:rPr>
          <w:sz w:val="27"/>
          <w:szCs w:val="27"/>
        </w:rPr>
        <w:t>запроваджено державне регулювання цін на продукцію громадського харчування, яка реалізується:</w:t>
      </w:r>
    </w:p>
    <w:p w:rsidR="00306FD3" w:rsidRPr="007657B6" w:rsidRDefault="00DB0BD9" w:rsidP="003D25FD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- </w:t>
      </w:r>
      <w:r w:rsidR="00306FD3" w:rsidRPr="007657B6">
        <w:rPr>
          <w:sz w:val="27"/>
          <w:szCs w:val="27"/>
        </w:rPr>
        <w:t xml:space="preserve">у загальноосвітніх, </w:t>
      </w:r>
      <w:r w:rsidR="003D25FD" w:rsidRPr="007657B6">
        <w:rPr>
          <w:sz w:val="27"/>
          <w:szCs w:val="27"/>
        </w:rPr>
        <w:t xml:space="preserve">професійно-технічних </w:t>
      </w:r>
      <w:r w:rsidR="00306FD3" w:rsidRPr="007657B6">
        <w:rPr>
          <w:sz w:val="27"/>
          <w:szCs w:val="27"/>
        </w:rPr>
        <w:t xml:space="preserve">та вищих </w:t>
      </w:r>
      <w:r w:rsidR="003D25FD" w:rsidRPr="007657B6">
        <w:rPr>
          <w:sz w:val="27"/>
          <w:szCs w:val="27"/>
        </w:rPr>
        <w:t xml:space="preserve">навчальних закладах шляхом встановлення граничної торговельної надбавки (націнки) у розмірі </w:t>
      </w:r>
      <w:r w:rsidR="00306FD3" w:rsidRPr="007657B6">
        <w:rPr>
          <w:sz w:val="27"/>
          <w:szCs w:val="27"/>
        </w:rPr>
        <w:t xml:space="preserve"> не вище </w:t>
      </w:r>
      <w:r w:rsidR="003D25FD" w:rsidRPr="007657B6">
        <w:rPr>
          <w:sz w:val="27"/>
          <w:szCs w:val="27"/>
        </w:rPr>
        <w:t xml:space="preserve">50% </w:t>
      </w:r>
      <w:r w:rsidR="008260D6" w:rsidRPr="007657B6">
        <w:rPr>
          <w:sz w:val="27"/>
          <w:szCs w:val="27"/>
        </w:rPr>
        <w:t xml:space="preserve">до </w:t>
      </w:r>
      <w:r w:rsidR="00306FD3" w:rsidRPr="007657B6">
        <w:rPr>
          <w:sz w:val="27"/>
          <w:szCs w:val="27"/>
        </w:rPr>
        <w:t xml:space="preserve">сировини та продуктів для приготування </w:t>
      </w:r>
      <w:r w:rsidR="008260D6" w:rsidRPr="007657B6">
        <w:rPr>
          <w:sz w:val="27"/>
          <w:szCs w:val="27"/>
        </w:rPr>
        <w:t xml:space="preserve"> продукції </w:t>
      </w:r>
      <w:r w:rsidR="00306FD3" w:rsidRPr="007657B6">
        <w:rPr>
          <w:sz w:val="27"/>
          <w:szCs w:val="27"/>
        </w:rPr>
        <w:t>власного виробництва;</w:t>
      </w:r>
    </w:p>
    <w:p w:rsidR="003D25FD" w:rsidRPr="007657B6" w:rsidRDefault="00DB0BD9" w:rsidP="003D25FD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- </w:t>
      </w:r>
      <w:r w:rsidR="003D25FD" w:rsidRPr="007657B6">
        <w:rPr>
          <w:sz w:val="27"/>
          <w:szCs w:val="27"/>
        </w:rPr>
        <w:t>на закупні</w:t>
      </w:r>
      <w:r w:rsidR="00306FD3" w:rsidRPr="007657B6">
        <w:rPr>
          <w:sz w:val="27"/>
          <w:szCs w:val="27"/>
        </w:rPr>
        <w:t xml:space="preserve"> (буфетні)</w:t>
      </w:r>
      <w:r w:rsidR="003D25FD" w:rsidRPr="007657B6">
        <w:rPr>
          <w:sz w:val="27"/>
          <w:szCs w:val="27"/>
        </w:rPr>
        <w:t xml:space="preserve"> товари</w:t>
      </w:r>
      <w:r w:rsidR="00306FD3" w:rsidRPr="007657B6">
        <w:rPr>
          <w:sz w:val="27"/>
          <w:szCs w:val="27"/>
        </w:rPr>
        <w:t xml:space="preserve">, </w:t>
      </w:r>
      <w:r w:rsidR="003D25FD" w:rsidRPr="007657B6">
        <w:rPr>
          <w:sz w:val="27"/>
          <w:szCs w:val="27"/>
        </w:rPr>
        <w:t>що використову</w:t>
      </w:r>
      <w:r w:rsidR="008260D6" w:rsidRPr="007657B6">
        <w:rPr>
          <w:sz w:val="27"/>
          <w:szCs w:val="27"/>
        </w:rPr>
        <w:t>ю</w:t>
      </w:r>
      <w:r w:rsidR="003D25FD" w:rsidRPr="007657B6">
        <w:rPr>
          <w:sz w:val="27"/>
          <w:szCs w:val="27"/>
        </w:rPr>
        <w:t xml:space="preserve">ться для подальшого перепродажу споживачам без видозмінення у розмірі </w:t>
      </w:r>
      <w:r w:rsidR="000B3E13" w:rsidRPr="007657B6">
        <w:rPr>
          <w:sz w:val="27"/>
          <w:szCs w:val="27"/>
        </w:rPr>
        <w:t>не вище  20</w:t>
      </w:r>
      <w:r w:rsidR="003D25FD" w:rsidRPr="007657B6">
        <w:rPr>
          <w:sz w:val="27"/>
          <w:szCs w:val="27"/>
        </w:rPr>
        <w:t xml:space="preserve"> </w:t>
      </w:r>
      <w:r w:rsidR="000B3E13" w:rsidRPr="007657B6">
        <w:rPr>
          <w:sz w:val="27"/>
          <w:szCs w:val="27"/>
        </w:rPr>
        <w:t>%.</w:t>
      </w:r>
    </w:p>
    <w:p w:rsidR="00984C64" w:rsidRPr="007657B6" w:rsidRDefault="00984C64" w:rsidP="00984C64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За інформацією Департаменту освіти, науки та молоді обласної державної адміністрації всі заклади</w:t>
      </w:r>
      <w:r w:rsidR="00DA31C4" w:rsidRPr="007657B6">
        <w:rPr>
          <w:sz w:val="27"/>
          <w:szCs w:val="27"/>
        </w:rPr>
        <w:t xml:space="preserve"> комунальної власності</w:t>
      </w:r>
      <w:r w:rsidRPr="007657B6">
        <w:rPr>
          <w:sz w:val="27"/>
          <w:szCs w:val="27"/>
        </w:rPr>
        <w:t xml:space="preserve">, які підпорядковані Департаменту, не отримують послуги з громадського </w:t>
      </w:r>
      <w:r w:rsidR="00DA31C4" w:rsidRPr="007657B6">
        <w:rPr>
          <w:sz w:val="27"/>
          <w:szCs w:val="27"/>
        </w:rPr>
        <w:t>харчування від інших підприємств,</w:t>
      </w:r>
      <w:r w:rsidRPr="007657B6">
        <w:rPr>
          <w:sz w:val="27"/>
          <w:szCs w:val="27"/>
        </w:rPr>
        <w:t xml:space="preserve"> а забезпечують учнів продукцією </w:t>
      </w:r>
      <w:r w:rsidR="00A62DE6" w:rsidRPr="007657B6">
        <w:rPr>
          <w:sz w:val="27"/>
          <w:szCs w:val="27"/>
        </w:rPr>
        <w:t xml:space="preserve">власного виробництва </w:t>
      </w:r>
      <w:r w:rsidR="00DA31C4" w:rsidRPr="007657B6">
        <w:rPr>
          <w:sz w:val="27"/>
          <w:szCs w:val="27"/>
        </w:rPr>
        <w:t>їдалень, які належать до їх відома</w:t>
      </w:r>
      <w:r w:rsidR="00A62DE6">
        <w:rPr>
          <w:sz w:val="27"/>
          <w:szCs w:val="27"/>
        </w:rPr>
        <w:t>,</w:t>
      </w:r>
      <w:r w:rsidR="00DA31C4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 xml:space="preserve">або </w:t>
      </w:r>
      <w:r w:rsidR="00A62DE6">
        <w:rPr>
          <w:sz w:val="27"/>
          <w:szCs w:val="27"/>
        </w:rPr>
        <w:t>компенсують учням  варт</w:t>
      </w:r>
      <w:r w:rsidR="00FF60F3">
        <w:rPr>
          <w:sz w:val="27"/>
          <w:szCs w:val="27"/>
        </w:rPr>
        <w:t>і</w:t>
      </w:r>
      <w:r w:rsidR="00A62DE6">
        <w:rPr>
          <w:sz w:val="27"/>
          <w:szCs w:val="27"/>
        </w:rPr>
        <w:t>сть</w:t>
      </w:r>
      <w:r w:rsidRPr="007657B6">
        <w:rPr>
          <w:sz w:val="27"/>
          <w:szCs w:val="27"/>
        </w:rPr>
        <w:t xml:space="preserve"> харчування готівкою. </w:t>
      </w:r>
    </w:p>
    <w:p w:rsidR="00984C64" w:rsidRPr="007657B6" w:rsidRDefault="00984C64" w:rsidP="00984C64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Продукція громадського харчування </w:t>
      </w:r>
      <w:r w:rsidR="00FF60F3">
        <w:rPr>
          <w:sz w:val="27"/>
          <w:szCs w:val="27"/>
        </w:rPr>
        <w:t xml:space="preserve">закупні (буфетні </w:t>
      </w:r>
      <w:r w:rsidR="00137C8F" w:rsidRPr="007657B6">
        <w:rPr>
          <w:sz w:val="27"/>
          <w:szCs w:val="27"/>
        </w:rPr>
        <w:t xml:space="preserve">товари) </w:t>
      </w:r>
      <w:r w:rsidRPr="007657B6">
        <w:rPr>
          <w:sz w:val="27"/>
          <w:szCs w:val="27"/>
        </w:rPr>
        <w:t>реалізується</w:t>
      </w:r>
      <w:r w:rsidR="00137C8F" w:rsidRPr="007657B6">
        <w:rPr>
          <w:sz w:val="27"/>
          <w:szCs w:val="27"/>
        </w:rPr>
        <w:t xml:space="preserve"> виключно в  </w:t>
      </w:r>
      <w:r w:rsidRPr="007657B6">
        <w:rPr>
          <w:sz w:val="27"/>
          <w:szCs w:val="27"/>
        </w:rPr>
        <w:t xml:space="preserve">ДВНЗ «Херсонське морехідне училище рибної промисловості» </w:t>
      </w:r>
      <w:r w:rsidR="007657B6">
        <w:rPr>
          <w:sz w:val="27"/>
          <w:szCs w:val="27"/>
        </w:rPr>
        <w:t xml:space="preserve">                  </w:t>
      </w:r>
      <w:r w:rsidRPr="007657B6">
        <w:rPr>
          <w:sz w:val="27"/>
          <w:szCs w:val="27"/>
        </w:rPr>
        <w:t>ФОП Єрмоленко В.В. та ФОП Осадчій О.Д.</w:t>
      </w:r>
    </w:p>
    <w:p w:rsidR="00324570" w:rsidRPr="007657B6" w:rsidRDefault="00984C64" w:rsidP="00984C64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Управлінням освіти Херсонської міської ради було проведено відкриті тендерні торги на учбовий період 2017-2018 роки на послуги з організації </w:t>
      </w:r>
      <w:r w:rsidRPr="007657B6">
        <w:rPr>
          <w:sz w:val="27"/>
          <w:szCs w:val="27"/>
        </w:rPr>
        <w:lastRenderedPageBreak/>
        <w:t xml:space="preserve">харчування учнів у загальноосвітніх навчальних закладах. За результатами торгів, переможцями стали ТОВ «Сервіс - Гранд», ТОВ «Буфет і к» та ТОВ «Світ школяра 2010», з якими укладено відповідні договори про закупівлю послуг їдалень з організації харчування учнів загальноосвітніх навчальних закладів та вихованців пришкільних/міських таборів відпочинку.  </w:t>
      </w:r>
    </w:p>
    <w:p w:rsidR="00984C64" w:rsidRPr="007657B6" w:rsidRDefault="00984C64" w:rsidP="00984C64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Також, за інформацією управлінням освіти Херсонської міської ради з квітня 2018 року постачальником послуг їдалень загальноосвітніх навчальних закладів долучилося   ТОВ «Базісторг».</w:t>
      </w:r>
    </w:p>
    <w:p w:rsidR="00984C64" w:rsidRPr="007657B6" w:rsidRDefault="00984C64" w:rsidP="00984C64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  Враховуючи коливання індексу споживчих цін, рішенням виконавчого комітету Херсонської міської ради від 20 жовтня 2015 року № 366 було встановлено з 01 січня 2016 року вартість харчування для окремих категорій учнів у загальноосвітніх та спеціальних навчальних закладах  міста </w:t>
      </w:r>
      <w:r w:rsidR="00137C8F" w:rsidRPr="007657B6">
        <w:rPr>
          <w:sz w:val="27"/>
          <w:szCs w:val="27"/>
        </w:rPr>
        <w:t xml:space="preserve">відшкодовується </w:t>
      </w:r>
      <w:r w:rsidRPr="007657B6">
        <w:rPr>
          <w:sz w:val="27"/>
          <w:szCs w:val="27"/>
        </w:rPr>
        <w:t>за рахунок коштів міського бюджету.</w:t>
      </w:r>
    </w:p>
    <w:p w:rsidR="00984C64" w:rsidRPr="007657B6" w:rsidRDefault="00984C64" w:rsidP="00984C64">
      <w:pPr>
        <w:ind w:right="-284" w:firstLine="426"/>
        <w:jc w:val="both"/>
        <w:rPr>
          <w:sz w:val="27"/>
          <w:szCs w:val="27"/>
        </w:rPr>
      </w:pPr>
      <w:r w:rsidRPr="007657B6">
        <w:rPr>
          <w:color w:val="000000"/>
          <w:sz w:val="27"/>
          <w:szCs w:val="27"/>
        </w:rPr>
        <w:t>Водночас, суб’єкти підприємницької діяльності, які забезпечують харчуванням учнів (студентів) у навчальних закладах області</w:t>
      </w:r>
      <w:r w:rsidRPr="007657B6">
        <w:rPr>
          <w:sz w:val="27"/>
          <w:szCs w:val="27"/>
        </w:rPr>
        <w:t xml:space="preserve"> також не зверталися до облдержадміністрації  з пропозиціями щодо внесення змін до розпорядження голови облдержадміністрації від 07 лютого 2014 року № 70 «Про встановлення граничних торговельних надбавок (націнок) на продукцію громадського харчування, що реалізується в загальноосвітніх, професійно-технічних та вищих навчальних закладах» з приводу погіршення фінансових результатів у зв’язку з обмеженням торговельних надбавок (націнок), встановленим регуляторним актом.</w:t>
      </w:r>
    </w:p>
    <w:p w:rsidR="0002399A" w:rsidRPr="007657B6" w:rsidRDefault="0002399A" w:rsidP="00DC5224">
      <w:pPr>
        <w:ind w:firstLine="709"/>
        <w:jc w:val="both"/>
        <w:rPr>
          <w:b/>
          <w:sz w:val="27"/>
          <w:szCs w:val="27"/>
        </w:rPr>
      </w:pPr>
    </w:p>
    <w:p w:rsidR="00DC5224" w:rsidRPr="007657B6" w:rsidRDefault="00DC5224" w:rsidP="00DC5224">
      <w:pPr>
        <w:ind w:firstLine="709"/>
        <w:jc w:val="both"/>
        <w:rPr>
          <w:b/>
          <w:sz w:val="27"/>
          <w:szCs w:val="27"/>
        </w:rPr>
      </w:pPr>
      <w:r w:rsidRPr="007657B6">
        <w:rPr>
          <w:b/>
          <w:sz w:val="27"/>
          <w:szCs w:val="27"/>
        </w:rPr>
        <w:t>9. Оцінка результатів реалізації регуляторного акта та ступеня досягнення визначених цілей.</w:t>
      </w:r>
    </w:p>
    <w:p w:rsidR="009D50BC" w:rsidRPr="007657B6" w:rsidRDefault="009D50BC" w:rsidP="009D50BC">
      <w:pPr>
        <w:tabs>
          <w:tab w:val="left" w:pos="7088"/>
        </w:tabs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Показники результативності дії вищезазначеного розпорядження є обмеженими у зв'язку з відсутністю</w:t>
      </w:r>
      <w:r w:rsidR="003F09A5" w:rsidRPr="007657B6">
        <w:rPr>
          <w:sz w:val="27"/>
          <w:szCs w:val="27"/>
        </w:rPr>
        <w:t>:</w:t>
      </w:r>
      <w:r w:rsidR="00FF60F3">
        <w:rPr>
          <w:sz w:val="27"/>
          <w:szCs w:val="27"/>
        </w:rPr>
        <w:t xml:space="preserve"> бухгалтерських даних щодо</w:t>
      </w:r>
      <w:r w:rsidRPr="007657B6">
        <w:rPr>
          <w:sz w:val="27"/>
          <w:szCs w:val="27"/>
        </w:rPr>
        <w:t xml:space="preserve"> </w:t>
      </w:r>
      <w:r w:rsidR="003F09A5" w:rsidRPr="007657B6">
        <w:rPr>
          <w:sz w:val="27"/>
          <w:szCs w:val="27"/>
        </w:rPr>
        <w:t xml:space="preserve">показників, які впливають на рівень торговельної націнки (данні суб’єктів господарювання);  </w:t>
      </w:r>
      <w:r w:rsidRPr="007657B6">
        <w:rPr>
          <w:sz w:val="27"/>
          <w:szCs w:val="27"/>
        </w:rPr>
        <w:t>перевірок контролюючими органами у сфері ціноутворення суб'єктів господарювання, які надають  послуги з орга</w:t>
      </w:r>
      <w:r w:rsidR="00FF60F3">
        <w:rPr>
          <w:sz w:val="27"/>
          <w:szCs w:val="27"/>
        </w:rPr>
        <w:t xml:space="preserve">нізації громадського харчування, у зв’язку з мораторієм на перевірки. </w:t>
      </w:r>
      <w:r w:rsidRPr="007657B6">
        <w:rPr>
          <w:sz w:val="27"/>
          <w:szCs w:val="27"/>
        </w:rPr>
        <w:t xml:space="preserve"> </w:t>
      </w:r>
    </w:p>
    <w:p w:rsidR="009D50BC" w:rsidRPr="007657B6" w:rsidRDefault="009D50BC" w:rsidP="009D50BC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657B6">
        <w:rPr>
          <w:color w:val="FF0000"/>
          <w:sz w:val="27"/>
          <w:szCs w:val="27"/>
        </w:rPr>
        <w:t xml:space="preserve"> </w:t>
      </w:r>
      <w:r w:rsidRPr="007657B6">
        <w:rPr>
          <w:sz w:val="27"/>
          <w:szCs w:val="27"/>
        </w:rPr>
        <w:t>Департаменту економічного розвитку та торгівлі облдержадміністрації  не надані функції державного контролю за дотри</w:t>
      </w:r>
      <w:r w:rsidR="003F09A5" w:rsidRPr="007657B6">
        <w:rPr>
          <w:sz w:val="27"/>
          <w:szCs w:val="27"/>
        </w:rPr>
        <w:t xml:space="preserve">манням державної дисципліни цін. Однак, </w:t>
      </w:r>
      <w:r w:rsidRPr="007657B6">
        <w:rPr>
          <w:sz w:val="27"/>
          <w:szCs w:val="27"/>
        </w:rPr>
        <w:t xml:space="preserve"> повноваження щодо державного нагляду (контролю) за дотриманням вимог формування, встановлення та застосування державних регульованих цін </w:t>
      </w:r>
      <w:r w:rsidR="003F09A5" w:rsidRPr="007657B6">
        <w:rPr>
          <w:sz w:val="27"/>
          <w:szCs w:val="27"/>
        </w:rPr>
        <w:t xml:space="preserve">покладено </w:t>
      </w:r>
      <w:r w:rsidR="00E7093B" w:rsidRPr="007657B6">
        <w:rPr>
          <w:sz w:val="27"/>
          <w:szCs w:val="27"/>
        </w:rPr>
        <w:t>на</w:t>
      </w:r>
      <w:r w:rsidR="003F09A5" w:rsidRPr="007657B6">
        <w:rPr>
          <w:sz w:val="27"/>
          <w:szCs w:val="27"/>
        </w:rPr>
        <w:t xml:space="preserve"> </w:t>
      </w:r>
      <w:r w:rsidR="003F09A5" w:rsidRPr="007657B6">
        <w:rPr>
          <w:bCs/>
          <w:sz w:val="27"/>
          <w:szCs w:val="27"/>
        </w:rPr>
        <w:t xml:space="preserve">сектор з контролю </w:t>
      </w:r>
      <w:r w:rsidR="0003096E" w:rsidRPr="007657B6">
        <w:rPr>
          <w:bCs/>
          <w:sz w:val="27"/>
          <w:szCs w:val="27"/>
        </w:rPr>
        <w:t xml:space="preserve">за регульованими </w:t>
      </w:r>
      <w:r w:rsidR="003F09A5" w:rsidRPr="007657B6">
        <w:rPr>
          <w:bCs/>
          <w:sz w:val="27"/>
          <w:szCs w:val="27"/>
        </w:rPr>
        <w:t>цін Головного управління Держпродспоживслужби в Херсонській області, який розпочав свою фактичну діяльність з січня  2018 року (</w:t>
      </w:r>
      <w:r w:rsidRPr="007657B6">
        <w:rPr>
          <w:sz w:val="27"/>
          <w:szCs w:val="27"/>
        </w:rPr>
        <w:t>постанов</w:t>
      </w:r>
      <w:r w:rsidR="003F09A5" w:rsidRPr="007657B6">
        <w:rPr>
          <w:sz w:val="27"/>
          <w:szCs w:val="27"/>
        </w:rPr>
        <w:t>а</w:t>
      </w:r>
      <w:r w:rsidRPr="007657B6">
        <w:rPr>
          <w:sz w:val="27"/>
          <w:szCs w:val="27"/>
        </w:rPr>
        <w:t xml:space="preserve"> Кабінету Міністрів України від 02 вересня 2015 року № 667</w:t>
      </w:r>
      <w:r w:rsidR="003F09A5" w:rsidRPr="007657B6">
        <w:rPr>
          <w:sz w:val="27"/>
          <w:szCs w:val="27"/>
        </w:rPr>
        <w:t>).</w:t>
      </w:r>
      <w:r w:rsidRPr="007657B6">
        <w:rPr>
          <w:bCs/>
          <w:sz w:val="27"/>
          <w:szCs w:val="27"/>
        </w:rPr>
        <w:t xml:space="preserve"> </w:t>
      </w:r>
    </w:p>
    <w:p w:rsidR="00986152" w:rsidRPr="007657B6" w:rsidRDefault="00A62293" w:rsidP="006D59CA">
      <w:pPr>
        <w:pStyle w:val="ae"/>
        <w:tabs>
          <w:tab w:val="left" w:pos="7088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З</w:t>
      </w:r>
      <w:r w:rsidR="000C7778" w:rsidRPr="007657B6">
        <w:rPr>
          <w:sz w:val="27"/>
          <w:szCs w:val="27"/>
        </w:rPr>
        <w:t xml:space="preserve"> 01 січня по 31 грудня 2017 року </w:t>
      </w:r>
      <w:r w:rsidR="006419F3" w:rsidRPr="007657B6">
        <w:rPr>
          <w:sz w:val="27"/>
          <w:szCs w:val="27"/>
        </w:rPr>
        <w:t xml:space="preserve"> відповідно до статті 2 Закону України «</w:t>
      </w:r>
      <w:r w:rsidR="006419F3" w:rsidRPr="007657B6">
        <w:rPr>
          <w:rStyle w:val="rvts23"/>
          <w:sz w:val="27"/>
          <w:szCs w:val="27"/>
        </w:rPr>
        <w:t xml:space="preserve">Про тимчасові особливості здійснення заходів державного нагляду (контролю) у сфері господарської діяльності» </w:t>
      </w:r>
      <w:r w:rsidR="006419F3" w:rsidRPr="007657B6">
        <w:rPr>
          <w:sz w:val="27"/>
          <w:szCs w:val="27"/>
        </w:rPr>
        <w:t>від 03 листопада 2016 року № 1728-</w:t>
      </w:r>
      <w:r w:rsidR="006419F3" w:rsidRPr="007657B6">
        <w:rPr>
          <w:rStyle w:val="rvts44"/>
          <w:sz w:val="27"/>
          <w:szCs w:val="27"/>
        </w:rPr>
        <w:t>VIIІ</w:t>
      </w:r>
      <w:r w:rsidR="00A079A3" w:rsidRPr="007657B6">
        <w:rPr>
          <w:rStyle w:val="rvts44"/>
          <w:sz w:val="27"/>
          <w:szCs w:val="27"/>
        </w:rPr>
        <w:t xml:space="preserve"> (Далі - Закон)</w:t>
      </w:r>
      <w:r w:rsidRPr="007657B6">
        <w:rPr>
          <w:rStyle w:val="rvts44"/>
          <w:sz w:val="27"/>
          <w:szCs w:val="27"/>
        </w:rPr>
        <w:t>,</w:t>
      </w:r>
      <w:r w:rsidR="006419F3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 xml:space="preserve">діяв </w:t>
      </w:r>
      <w:r w:rsidR="000C7778" w:rsidRPr="007657B6">
        <w:rPr>
          <w:sz w:val="27"/>
          <w:szCs w:val="27"/>
        </w:rPr>
        <w:t>мораторій на проведення органами державного нагляду планових заходів із здійснення державного контролю у сфері господарської діяльності, у тому числі перевірок з питань ціноутворення</w:t>
      </w:r>
      <w:r w:rsidR="006419F3" w:rsidRPr="007657B6">
        <w:rPr>
          <w:sz w:val="27"/>
          <w:szCs w:val="27"/>
        </w:rPr>
        <w:t>.</w:t>
      </w:r>
      <w:r w:rsidR="00CC0AAB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>А в</w:t>
      </w:r>
      <w:r w:rsidR="00D94634" w:rsidRPr="007657B6">
        <w:rPr>
          <w:sz w:val="27"/>
          <w:szCs w:val="27"/>
        </w:rPr>
        <w:t xml:space="preserve">ідповідно до статті </w:t>
      </w:r>
      <w:r w:rsidRPr="007657B6">
        <w:rPr>
          <w:sz w:val="27"/>
          <w:szCs w:val="27"/>
        </w:rPr>
        <w:t xml:space="preserve">3 зазначеного </w:t>
      </w:r>
      <w:r w:rsidR="00D94634" w:rsidRPr="007657B6">
        <w:rPr>
          <w:sz w:val="27"/>
          <w:szCs w:val="27"/>
        </w:rPr>
        <w:t xml:space="preserve">Закону до </w:t>
      </w:r>
      <w:r w:rsidR="00AB7E4C" w:rsidRPr="007657B6">
        <w:rPr>
          <w:sz w:val="27"/>
          <w:szCs w:val="27"/>
          <w:lang w:val="ru-RU"/>
        </w:rPr>
        <w:t xml:space="preserve">             </w:t>
      </w:r>
      <w:r w:rsidR="00D94634" w:rsidRPr="007657B6">
        <w:rPr>
          <w:sz w:val="27"/>
          <w:szCs w:val="27"/>
        </w:rPr>
        <w:t xml:space="preserve">31 грудня </w:t>
      </w:r>
      <w:r w:rsidR="00AB7E4C" w:rsidRPr="007657B6">
        <w:rPr>
          <w:sz w:val="27"/>
          <w:szCs w:val="27"/>
          <w:lang w:val="ru-RU"/>
        </w:rPr>
        <w:t>2</w:t>
      </w:r>
      <w:r w:rsidR="00D94634" w:rsidRPr="007657B6">
        <w:rPr>
          <w:sz w:val="27"/>
          <w:szCs w:val="27"/>
        </w:rPr>
        <w:t xml:space="preserve">017 року </w:t>
      </w:r>
      <w:r w:rsidR="00986152" w:rsidRPr="007657B6">
        <w:rPr>
          <w:sz w:val="27"/>
          <w:szCs w:val="27"/>
        </w:rPr>
        <w:t>позапланові</w:t>
      </w:r>
      <w:r w:rsidR="00CC0AAB" w:rsidRPr="007657B6">
        <w:rPr>
          <w:sz w:val="27"/>
          <w:szCs w:val="27"/>
        </w:rPr>
        <w:t xml:space="preserve"> заходи державного нагляду (контролю)</w:t>
      </w:r>
      <w:r w:rsidR="00D94634" w:rsidRPr="007657B6">
        <w:rPr>
          <w:sz w:val="27"/>
          <w:szCs w:val="27"/>
        </w:rPr>
        <w:t xml:space="preserve"> </w:t>
      </w:r>
      <w:r w:rsidR="00986152" w:rsidRPr="007657B6">
        <w:rPr>
          <w:sz w:val="27"/>
          <w:szCs w:val="27"/>
        </w:rPr>
        <w:t xml:space="preserve">здійснюються органами державного нагляду (контролю), зокрема Держпродспоживслужбою України та її територіальними органами на підставі обґрунтованого звернення фізичної особи про порушення суб’єктом господарювання </w:t>
      </w:r>
      <w:r w:rsidR="00986152" w:rsidRPr="007657B6">
        <w:rPr>
          <w:sz w:val="27"/>
          <w:szCs w:val="27"/>
        </w:rPr>
        <w:lastRenderedPageBreak/>
        <w:t>її законних прав проводиться виключно за погодженням Державної регуляторної служби.</w:t>
      </w:r>
    </w:p>
    <w:p w:rsidR="007C6256" w:rsidRPr="007657B6" w:rsidRDefault="000C7778" w:rsidP="00AC2546">
      <w:pPr>
        <w:pStyle w:val="ae"/>
        <w:tabs>
          <w:tab w:val="left" w:pos="7088"/>
        </w:tabs>
        <w:spacing w:before="0" w:beforeAutospacing="0" w:after="0" w:afterAutospacing="0"/>
        <w:ind w:firstLine="709"/>
        <w:jc w:val="both"/>
        <w:rPr>
          <w:rStyle w:val="rvts44"/>
          <w:sz w:val="27"/>
          <w:szCs w:val="27"/>
        </w:rPr>
      </w:pPr>
      <w:r w:rsidRPr="007657B6">
        <w:rPr>
          <w:sz w:val="27"/>
          <w:szCs w:val="27"/>
        </w:rPr>
        <w:t>Також</w:t>
      </w:r>
      <w:r w:rsidR="009D50BC" w:rsidRPr="007657B6">
        <w:rPr>
          <w:sz w:val="27"/>
          <w:szCs w:val="27"/>
        </w:rPr>
        <w:t>,</w:t>
      </w:r>
      <w:r w:rsidRPr="007657B6">
        <w:rPr>
          <w:sz w:val="27"/>
          <w:szCs w:val="27"/>
        </w:rPr>
        <w:t xml:space="preserve"> дію мораторію на планові перевірки </w:t>
      </w:r>
      <w:r w:rsidR="007C6256" w:rsidRPr="007657B6">
        <w:rPr>
          <w:sz w:val="27"/>
          <w:szCs w:val="27"/>
        </w:rPr>
        <w:t>в частині дотриманням вимог формування,</w:t>
      </w:r>
      <w:r w:rsidR="006419F3" w:rsidRPr="007657B6">
        <w:rPr>
          <w:sz w:val="27"/>
          <w:szCs w:val="27"/>
        </w:rPr>
        <w:t xml:space="preserve"> </w:t>
      </w:r>
      <w:r w:rsidR="007C6256" w:rsidRPr="007657B6">
        <w:rPr>
          <w:sz w:val="27"/>
          <w:szCs w:val="27"/>
        </w:rPr>
        <w:t xml:space="preserve">встановлення та застосування державних регульованих цін </w:t>
      </w:r>
      <w:r w:rsidRPr="007657B6">
        <w:rPr>
          <w:sz w:val="27"/>
          <w:szCs w:val="27"/>
        </w:rPr>
        <w:t>Держпродспоживслужбою України та її територіальними органами</w:t>
      </w:r>
      <w:r w:rsidR="00A079A3" w:rsidRPr="007657B6">
        <w:rPr>
          <w:sz w:val="27"/>
          <w:szCs w:val="27"/>
        </w:rPr>
        <w:t>,</w:t>
      </w:r>
      <w:r w:rsidRPr="007657B6">
        <w:rPr>
          <w:sz w:val="27"/>
          <w:szCs w:val="27"/>
        </w:rPr>
        <w:t xml:space="preserve"> було подовжено до 31 грудня 2018 року</w:t>
      </w:r>
      <w:r w:rsidR="0022607C" w:rsidRPr="007657B6">
        <w:rPr>
          <w:sz w:val="27"/>
          <w:szCs w:val="27"/>
        </w:rPr>
        <w:t>,</w:t>
      </w:r>
      <w:r w:rsidRPr="007657B6">
        <w:rPr>
          <w:sz w:val="27"/>
          <w:szCs w:val="27"/>
        </w:rPr>
        <w:t xml:space="preserve"> </w:t>
      </w:r>
      <w:r w:rsidR="009D50BC" w:rsidRPr="007657B6">
        <w:rPr>
          <w:sz w:val="27"/>
          <w:szCs w:val="27"/>
        </w:rPr>
        <w:t>відповідно</w:t>
      </w:r>
      <w:r w:rsidR="001B6FBE" w:rsidRPr="007657B6">
        <w:rPr>
          <w:sz w:val="27"/>
          <w:szCs w:val="27"/>
        </w:rPr>
        <w:t xml:space="preserve"> до статті 2</w:t>
      </w:r>
      <w:r w:rsidR="00C60F6A" w:rsidRPr="007657B6">
        <w:rPr>
          <w:sz w:val="27"/>
          <w:szCs w:val="27"/>
        </w:rPr>
        <w:t xml:space="preserve">  </w:t>
      </w:r>
      <w:r w:rsidR="009D50BC" w:rsidRPr="007657B6">
        <w:rPr>
          <w:sz w:val="27"/>
          <w:szCs w:val="27"/>
        </w:rPr>
        <w:t>Закону України «Про тимчасові особливості здійснення заходів державного нагляду (контролю) у сфері господарської діяльності»</w:t>
      </w:r>
      <w:r w:rsidR="00691271" w:rsidRPr="007657B6">
        <w:rPr>
          <w:sz w:val="27"/>
          <w:szCs w:val="27"/>
        </w:rPr>
        <w:t xml:space="preserve"> від  03 листопада 2016 року  № 1728-</w:t>
      </w:r>
      <w:r w:rsidR="00691271" w:rsidRPr="007657B6">
        <w:rPr>
          <w:rStyle w:val="rvts44"/>
          <w:sz w:val="27"/>
          <w:szCs w:val="27"/>
        </w:rPr>
        <w:t>VIII</w:t>
      </w:r>
      <w:r w:rsidR="00A62293" w:rsidRPr="007657B6">
        <w:rPr>
          <w:sz w:val="27"/>
          <w:szCs w:val="27"/>
        </w:rPr>
        <w:t xml:space="preserve"> (із змінами, внесеними згідно із Законом № 2246-</w:t>
      </w:r>
      <w:r w:rsidR="00A62293" w:rsidRPr="007657B6">
        <w:rPr>
          <w:sz w:val="27"/>
          <w:szCs w:val="27"/>
          <w:lang w:val="en-US"/>
        </w:rPr>
        <w:t>VII</w:t>
      </w:r>
      <w:r w:rsidR="00A62293" w:rsidRPr="007657B6">
        <w:rPr>
          <w:sz w:val="27"/>
          <w:szCs w:val="27"/>
        </w:rPr>
        <w:t xml:space="preserve"> від 07 грудня 2017 року «Про Державний бюджет України на 2018 рік»)</w:t>
      </w:r>
    </w:p>
    <w:p w:rsidR="00193A4D" w:rsidRPr="007657B6" w:rsidRDefault="00193A4D" w:rsidP="00AB7E4C">
      <w:pPr>
        <w:pStyle w:val="ae"/>
        <w:tabs>
          <w:tab w:val="left" w:pos="7088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657B6">
        <w:rPr>
          <w:rStyle w:val="rvts44"/>
          <w:sz w:val="27"/>
          <w:szCs w:val="27"/>
        </w:rPr>
        <w:t>Разом з тим, п</w:t>
      </w:r>
      <w:r w:rsidR="006D59CA" w:rsidRPr="007657B6">
        <w:rPr>
          <w:sz w:val="27"/>
          <w:szCs w:val="27"/>
        </w:rPr>
        <w:t>остановою</w:t>
      </w:r>
      <w:r w:rsidR="009D50BC" w:rsidRPr="007657B6">
        <w:rPr>
          <w:sz w:val="27"/>
          <w:szCs w:val="27"/>
        </w:rPr>
        <w:t xml:space="preserve"> Кабінету Міністрів України від 18 грудня </w:t>
      </w:r>
      <w:r w:rsidR="001B6FBE" w:rsidRPr="007657B6">
        <w:rPr>
          <w:sz w:val="27"/>
          <w:szCs w:val="27"/>
        </w:rPr>
        <w:t>20</w:t>
      </w:r>
      <w:r w:rsidR="009D50BC" w:rsidRPr="007657B6">
        <w:rPr>
          <w:sz w:val="27"/>
          <w:szCs w:val="27"/>
        </w:rPr>
        <w:t xml:space="preserve">17 року </w:t>
      </w:r>
      <w:r w:rsidR="007A3CB9" w:rsidRPr="007657B6">
        <w:rPr>
          <w:sz w:val="27"/>
          <w:szCs w:val="27"/>
        </w:rPr>
        <w:t>№ 1104</w:t>
      </w:r>
      <w:r w:rsidR="00AB7E4C" w:rsidRPr="007657B6">
        <w:rPr>
          <w:sz w:val="27"/>
          <w:szCs w:val="27"/>
        </w:rPr>
        <w:t>,</w:t>
      </w:r>
      <w:r w:rsidR="00A079A3" w:rsidRPr="007657B6">
        <w:rPr>
          <w:sz w:val="27"/>
          <w:szCs w:val="27"/>
        </w:rPr>
        <w:t xml:space="preserve"> затверджено перелік органів держа</w:t>
      </w:r>
      <w:r w:rsidRPr="007657B6">
        <w:rPr>
          <w:sz w:val="27"/>
          <w:szCs w:val="27"/>
        </w:rPr>
        <w:t>в</w:t>
      </w:r>
      <w:r w:rsidR="00A079A3" w:rsidRPr="007657B6">
        <w:rPr>
          <w:sz w:val="27"/>
          <w:szCs w:val="27"/>
        </w:rPr>
        <w:t>ного нагляду (контролю), на які не поширюється дія Закону</w:t>
      </w:r>
      <w:r w:rsidR="00AB7E4C" w:rsidRPr="007657B6">
        <w:rPr>
          <w:sz w:val="27"/>
          <w:szCs w:val="27"/>
        </w:rPr>
        <w:t xml:space="preserve">, </w:t>
      </w:r>
      <w:r w:rsidRPr="007657B6">
        <w:rPr>
          <w:sz w:val="27"/>
          <w:szCs w:val="27"/>
        </w:rPr>
        <w:t>зокрема</w:t>
      </w:r>
      <w:r w:rsidR="00A079A3" w:rsidRPr="007657B6">
        <w:rPr>
          <w:sz w:val="27"/>
          <w:szCs w:val="27"/>
        </w:rPr>
        <w:t xml:space="preserve"> Держпродспоживслужба України</w:t>
      </w:r>
      <w:r w:rsidR="00AB7E4C" w:rsidRPr="007657B6">
        <w:rPr>
          <w:sz w:val="27"/>
          <w:szCs w:val="27"/>
        </w:rPr>
        <w:t xml:space="preserve"> та її територіальні органи</w:t>
      </w:r>
      <w:r w:rsidRPr="007657B6">
        <w:rPr>
          <w:sz w:val="27"/>
          <w:szCs w:val="27"/>
        </w:rPr>
        <w:t xml:space="preserve"> в части</w:t>
      </w:r>
      <w:r w:rsidR="007657B6" w:rsidRPr="007657B6">
        <w:rPr>
          <w:sz w:val="27"/>
          <w:szCs w:val="27"/>
        </w:rPr>
        <w:t>ні заходів із здійснення державного ветеринарно-санітарного контролю, державного нагляду (контролю) за дотриманням санітарного законодавства, безпечністю та окремими показниками якості харчових продуктів, дотриманням законодавства про захист прав споживачів, державного нагляду у сферах карантину та захисту рослин.</w:t>
      </w:r>
      <w:r w:rsidR="00DC211F" w:rsidRPr="007657B6">
        <w:rPr>
          <w:sz w:val="27"/>
          <w:szCs w:val="27"/>
        </w:rPr>
        <w:t xml:space="preserve"> </w:t>
      </w:r>
    </w:p>
    <w:p w:rsidR="009D50BC" w:rsidRPr="007657B6" w:rsidRDefault="000C6931" w:rsidP="009D50BC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>Тому, у зв’язку з викладеним до Департаменту</w:t>
      </w:r>
      <w:r w:rsidR="009D50BC" w:rsidRPr="007657B6">
        <w:rPr>
          <w:sz w:val="27"/>
          <w:szCs w:val="27"/>
        </w:rPr>
        <w:t xml:space="preserve"> економічного розвитку та торгівлі облдержадміністрації </w:t>
      </w:r>
      <w:r w:rsidRPr="007657B6">
        <w:rPr>
          <w:sz w:val="27"/>
          <w:szCs w:val="27"/>
        </w:rPr>
        <w:t xml:space="preserve"> не надходила </w:t>
      </w:r>
      <w:r w:rsidR="009D50BC" w:rsidRPr="007657B6">
        <w:rPr>
          <w:sz w:val="27"/>
          <w:szCs w:val="27"/>
        </w:rPr>
        <w:t xml:space="preserve">інформація щодо фактів порушень </w:t>
      </w:r>
      <w:r w:rsidR="0047678A" w:rsidRPr="007657B6">
        <w:rPr>
          <w:sz w:val="27"/>
          <w:szCs w:val="27"/>
        </w:rPr>
        <w:t xml:space="preserve">при </w:t>
      </w:r>
      <w:r w:rsidR="000234FD" w:rsidRPr="007657B6">
        <w:rPr>
          <w:sz w:val="27"/>
          <w:szCs w:val="27"/>
        </w:rPr>
        <w:t xml:space="preserve"> застосуванні</w:t>
      </w:r>
      <w:r w:rsidR="009D50BC" w:rsidRPr="007657B6">
        <w:rPr>
          <w:sz w:val="27"/>
          <w:szCs w:val="27"/>
        </w:rPr>
        <w:t xml:space="preserve"> встановлених граничних торговельних надбавок (націнок) на продукцію громадського харчування.</w:t>
      </w:r>
    </w:p>
    <w:p w:rsidR="008B4B77" w:rsidRPr="007657B6" w:rsidRDefault="009D50BC" w:rsidP="009D50BC">
      <w:pPr>
        <w:tabs>
          <w:tab w:val="left" w:pos="7088"/>
        </w:tabs>
        <w:ind w:firstLine="709"/>
        <w:jc w:val="both"/>
        <w:rPr>
          <w:color w:val="000000"/>
          <w:sz w:val="27"/>
          <w:szCs w:val="27"/>
        </w:rPr>
      </w:pPr>
      <w:r w:rsidRPr="007657B6">
        <w:rPr>
          <w:sz w:val="27"/>
          <w:szCs w:val="27"/>
        </w:rPr>
        <w:t xml:space="preserve">Разом із тим, </w:t>
      </w:r>
      <w:r w:rsidR="008B4B77" w:rsidRPr="007657B6">
        <w:rPr>
          <w:color w:val="000000"/>
          <w:sz w:val="27"/>
          <w:szCs w:val="27"/>
        </w:rPr>
        <w:t xml:space="preserve">протягом 2015-2018 років </w:t>
      </w:r>
      <w:r w:rsidRPr="007657B6">
        <w:rPr>
          <w:color w:val="000000"/>
          <w:sz w:val="27"/>
          <w:szCs w:val="27"/>
        </w:rPr>
        <w:t>від суб’єктів господарювання,</w:t>
      </w:r>
      <w:r w:rsidRPr="007657B6">
        <w:rPr>
          <w:sz w:val="27"/>
          <w:szCs w:val="27"/>
        </w:rPr>
        <w:t xml:space="preserve"> які ви</w:t>
      </w:r>
      <w:r w:rsidR="0029266C" w:rsidRPr="007657B6">
        <w:rPr>
          <w:sz w:val="27"/>
          <w:szCs w:val="27"/>
        </w:rPr>
        <w:t>робляють</w:t>
      </w:r>
      <w:r w:rsidR="0002399A" w:rsidRPr="007657B6">
        <w:rPr>
          <w:sz w:val="27"/>
          <w:szCs w:val="27"/>
        </w:rPr>
        <w:t xml:space="preserve"> </w:t>
      </w:r>
      <w:r w:rsidRPr="007657B6">
        <w:rPr>
          <w:sz w:val="27"/>
          <w:szCs w:val="27"/>
        </w:rPr>
        <w:t>та реаліз</w:t>
      </w:r>
      <w:r w:rsidR="0029266C" w:rsidRPr="007657B6">
        <w:rPr>
          <w:sz w:val="27"/>
          <w:szCs w:val="27"/>
        </w:rPr>
        <w:t>ують</w:t>
      </w:r>
      <w:r w:rsidRPr="007657B6">
        <w:rPr>
          <w:sz w:val="27"/>
          <w:szCs w:val="27"/>
        </w:rPr>
        <w:t xml:space="preserve"> продукці</w:t>
      </w:r>
      <w:r w:rsidR="0029266C" w:rsidRPr="007657B6">
        <w:rPr>
          <w:sz w:val="27"/>
          <w:szCs w:val="27"/>
        </w:rPr>
        <w:t>ю</w:t>
      </w:r>
      <w:r w:rsidRPr="007657B6">
        <w:rPr>
          <w:sz w:val="27"/>
          <w:szCs w:val="27"/>
        </w:rPr>
        <w:t xml:space="preserve"> громадського харчування у загальноосвітніх, професійно-технічних та вищих навчальних закладах</w:t>
      </w:r>
      <w:r w:rsidR="008B4B77" w:rsidRPr="007657B6">
        <w:rPr>
          <w:sz w:val="27"/>
          <w:szCs w:val="27"/>
        </w:rPr>
        <w:t xml:space="preserve"> </w:t>
      </w:r>
      <w:r w:rsidR="008B4B77" w:rsidRPr="007657B6">
        <w:rPr>
          <w:color w:val="000000"/>
          <w:sz w:val="27"/>
          <w:szCs w:val="27"/>
        </w:rPr>
        <w:t xml:space="preserve">та споживачів </w:t>
      </w:r>
      <w:r w:rsidR="001D53C3" w:rsidRPr="007657B6">
        <w:rPr>
          <w:color w:val="000000"/>
          <w:sz w:val="27"/>
          <w:szCs w:val="27"/>
        </w:rPr>
        <w:t>також</w:t>
      </w:r>
      <w:r w:rsidR="0029266C" w:rsidRPr="007657B6">
        <w:rPr>
          <w:color w:val="000000"/>
          <w:sz w:val="27"/>
          <w:szCs w:val="27"/>
        </w:rPr>
        <w:t xml:space="preserve"> не надходили скарги</w:t>
      </w:r>
      <w:r w:rsidR="008B4B77" w:rsidRPr="007657B6">
        <w:rPr>
          <w:color w:val="000000"/>
          <w:sz w:val="27"/>
          <w:szCs w:val="27"/>
        </w:rPr>
        <w:t>, пропозиції,</w:t>
      </w:r>
      <w:r w:rsidR="0029266C" w:rsidRPr="007657B6">
        <w:rPr>
          <w:color w:val="000000"/>
          <w:sz w:val="27"/>
          <w:szCs w:val="27"/>
        </w:rPr>
        <w:t xml:space="preserve"> звернення</w:t>
      </w:r>
      <w:r w:rsidR="008B4B77" w:rsidRPr="007657B6">
        <w:rPr>
          <w:color w:val="000000"/>
          <w:sz w:val="27"/>
          <w:szCs w:val="27"/>
        </w:rPr>
        <w:t xml:space="preserve"> та зауваження стосовно р</w:t>
      </w:r>
      <w:r w:rsidR="00193A4D" w:rsidRPr="007657B6">
        <w:rPr>
          <w:color w:val="000000"/>
          <w:sz w:val="27"/>
          <w:szCs w:val="27"/>
        </w:rPr>
        <w:t>егулювань рівня рентабельності.</w:t>
      </w:r>
    </w:p>
    <w:p w:rsidR="009D50BC" w:rsidRPr="007657B6" w:rsidRDefault="0029266C" w:rsidP="00E703A7">
      <w:pPr>
        <w:tabs>
          <w:tab w:val="left" w:pos="7088"/>
        </w:tabs>
        <w:ind w:firstLine="709"/>
        <w:jc w:val="both"/>
        <w:rPr>
          <w:sz w:val="27"/>
          <w:szCs w:val="27"/>
        </w:rPr>
      </w:pPr>
      <w:r w:rsidRPr="007657B6">
        <w:rPr>
          <w:color w:val="000000"/>
          <w:sz w:val="27"/>
          <w:szCs w:val="27"/>
        </w:rPr>
        <w:t xml:space="preserve"> </w:t>
      </w:r>
      <w:r w:rsidR="009D50BC" w:rsidRPr="007657B6">
        <w:rPr>
          <w:sz w:val="27"/>
          <w:szCs w:val="27"/>
        </w:rPr>
        <w:t>Впровадження та використання електронної системи публічних закупівель «Pro</w:t>
      </w:r>
      <w:r w:rsidR="00CF44CC" w:rsidRPr="007657B6">
        <w:rPr>
          <w:sz w:val="27"/>
          <w:szCs w:val="27"/>
        </w:rPr>
        <w:t>-</w:t>
      </w:r>
      <w:r w:rsidR="00CF44CC" w:rsidRPr="007657B6">
        <w:rPr>
          <w:sz w:val="27"/>
          <w:szCs w:val="27"/>
          <w:lang w:val="en-US"/>
        </w:rPr>
        <w:t>Z</w:t>
      </w:r>
      <w:r w:rsidR="009D50BC" w:rsidRPr="007657B6">
        <w:rPr>
          <w:sz w:val="27"/>
          <w:szCs w:val="27"/>
        </w:rPr>
        <w:t>orro»,</w:t>
      </w:r>
      <w:r w:rsidR="00CF44CC" w:rsidRPr="007657B6">
        <w:rPr>
          <w:sz w:val="27"/>
          <w:szCs w:val="27"/>
        </w:rPr>
        <w:t xml:space="preserve"> </w:t>
      </w:r>
      <w:r w:rsidR="009D50BC" w:rsidRPr="007657B6">
        <w:rPr>
          <w:sz w:val="27"/>
          <w:szCs w:val="27"/>
        </w:rPr>
        <w:t xml:space="preserve">через яку здійснюються тендерні закупівлі послуг </w:t>
      </w:r>
      <w:r w:rsidR="00E41432" w:rsidRPr="007657B6">
        <w:rPr>
          <w:sz w:val="27"/>
          <w:szCs w:val="27"/>
        </w:rPr>
        <w:t xml:space="preserve">громадського </w:t>
      </w:r>
      <w:r w:rsidR="009D50BC" w:rsidRPr="007657B6">
        <w:rPr>
          <w:sz w:val="27"/>
          <w:szCs w:val="27"/>
        </w:rPr>
        <w:t xml:space="preserve"> харчування, сприя</w:t>
      </w:r>
      <w:r w:rsidR="004364CF" w:rsidRPr="007657B6">
        <w:rPr>
          <w:sz w:val="27"/>
          <w:szCs w:val="27"/>
        </w:rPr>
        <w:t>є</w:t>
      </w:r>
      <w:r w:rsidR="009D50BC" w:rsidRPr="007657B6">
        <w:rPr>
          <w:sz w:val="27"/>
          <w:szCs w:val="27"/>
        </w:rPr>
        <w:t xml:space="preserve"> недопущенню зростанн</w:t>
      </w:r>
      <w:r w:rsidR="00E41432" w:rsidRPr="007657B6">
        <w:rPr>
          <w:sz w:val="27"/>
          <w:szCs w:val="27"/>
        </w:rPr>
        <w:t>я цін на зазначену продукцію</w:t>
      </w:r>
      <w:r w:rsidR="009D50BC" w:rsidRPr="007657B6">
        <w:rPr>
          <w:sz w:val="27"/>
          <w:szCs w:val="27"/>
        </w:rPr>
        <w:t>, що</w:t>
      </w:r>
      <w:r w:rsidR="00E41432" w:rsidRPr="007657B6">
        <w:rPr>
          <w:sz w:val="27"/>
          <w:szCs w:val="27"/>
        </w:rPr>
        <w:t xml:space="preserve"> реалізується у закладах освіти. </w:t>
      </w:r>
      <w:r w:rsidR="009D50BC" w:rsidRPr="007657B6">
        <w:rPr>
          <w:sz w:val="27"/>
          <w:szCs w:val="27"/>
        </w:rPr>
        <w:t xml:space="preserve"> </w:t>
      </w:r>
    </w:p>
    <w:p w:rsidR="00137C8F" w:rsidRPr="007657B6" w:rsidRDefault="00137C8F" w:rsidP="00137C8F">
      <w:pPr>
        <w:ind w:right="-284" w:firstLine="426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З огляду на зазначене, діючий </w:t>
      </w:r>
      <w:r w:rsidR="007657B6" w:rsidRPr="007657B6">
        <w:rPr>
          <w:sz w:val="27"/>
          <w:szCs w:val="27"/>
        </w:rPr>
        <w:t xml:space="preserve"> в області </w:t>
      </w:r>
      <w:r w:rsidRPr="007657B6">
        <w:rPr>
          <w:sz w:val="27"/>
          <w:szCs w:val="27"/>
        </w:rPr>
        <w:t>механізм регулювання є оптимальним, оскільки сприяє встановленню економічно обґрунтованих цін на продукцію громадського харчування, що реалізується у навчальних закладах області, забезпечує належний соціальний захист учнів (студентів) та стабільну діяльність суб’єктів господарювання  сфери громадського харчування.</w:t>
      </w:r>
    </w:p>
    <w:p w:rsidR="009D50BC" w:rsidRPr="007657B6" w:rsidRDefault="009D50BC" w:rsidP="009D50BC">
      <w:pPr>
        <w:ind w:firstLine="709"/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З огляду на вищевказане, розпорядження голови обласної державної адміністрації – регуляторний акт  від 07 лютого 2014 року </w:t>
      </w:r>
      <w:r w:rsidR="00137C8F" w:rsidRPr="007657B6">
        <w:rPr>
          <w:sz w:val="27"/>
          <w:szCs w:val="27"/>
        </w:rPr>
        <w:t xml:space="preserve">№ 70 </w:t>
      </w:r>
      <w:r w:rsidRPr="007657B6">
        <w:rPr>
          <w:sz w:val="27"/>
          <w:szCs w:val="27"/>
        </w:rPr>
        <w:t>«Про встановлення граничних торговельних надбавок (націнок) на продукцію громадського харчування, що реалізується в загальноосвітніх, професійно-технічних та вищих навчальних закладах» залишити без змін та продовжити термін його дії.</w:t>
      </w:r>
    </w:p>
    <w:p w:rsidR="009D50BC" w:rsidRPr="007657B6" w:rsidRDefault="009D50BC" w:rsidP="009D50BC">
      <w:pPr>
        <w:ind w:firstLine="709"/>
        <w:jc w:val="both"/>
        <w:rPr>
          <w:sz w:val="27"/>
          <w:szCs w:val="27"/>
        </w:rPr>
      </w:pPr>
    </w:p>
    <w:p w:rsidR="00B44269" w:rsidRDefault="009D50BC" w:rsidP="00137C8F">
      <w:pPr>
        <w:jc w:val="both"/>
        <w:rPr>
          <w:sz w:val="27"/>
          <w:szCs w:val="27"/>
        </w:rPr>
      </w:pPr>
      <w:r w:rsidRPr="007657B6">
        <w:rPr>
          <w:sz w:val="27"/>
          <w:szCs w:val="27"/>
        </w:rPr>
        <w:t xml:space="preserve">Заступник директора Департаменту                                         </w:t>
      </w:r>
      <w:r w:rsidR="00E41432" w:rsidRPr="007657B6">
        <w:rPr>
          <w:sz w:val="27"/>
          <w:szCs w:val="27"/>
        </w:rPr>
        <w:t xml:space="preserve">        </w:t>
      </w:r>
      <w:r w:rsidRPr="007657B6">
        <w:rPr>
          <w:sz w:val="27"/>
          <w:szCs w:val="27"/>
        </w:rPr>
        <w:t xml:space="preserve">   О.І.Феодосієва</w:t>
      </w:r>
      <w:r w:rsidRPr="008C2FF1">
        <w:rPr>
          <w:sz w:val="27"/>
          <w:szCs w:val="27"/>
        </w:rPr>
        <w:t xml:space="preserve"> </w:t>
      </w:r>
    </w:p>
    <w:p w:rsidR="00B44269" w:rsidRPr="00B44269" w:rsidRDefault="00B44269" w:rsidP="00B44269">
      <w:pPr>
        <w:rPr>
          <w:sz w:val="27"/>
          <w:szCs w:val="27"/>
        </w:rPr>
      </w:pPr>
    </w:p>
    <w:p w:rsidR="00B44269" w:rsidRDefault="00B44269" w:rsidP="00B44269">
      <w:pPr>
        <w:rPr>
          <w:sz w:val="27"/>
          <w:szCs w:val="27"/>
        </w:rPr>
      </w:pPr>
    </w:p>
    <w:p w:rsidR="008C05D7" w:rsidRPr="00E821C2" w:rsidRDefault="00B44269" w:rsidP="00B44269">
      <w:pPr>
        <w:rPr>
          <w:sz w:val="27"/>
          <w:szCs w:val="27"/>
          <w:u w:val="single"/>
        </w:rPr>
      </w:pPr>
      <w:r w:rsidRPr="00E821C2">
        <w:rPr>
          <w:sz w:val="27"/>
          <w:szCs w:val="27"/>
          <w:u w:val="single"/>
        </w:rPr>
        <w:t>«</w:t>
      </w:r>
      <w:r w:rsidR="00E821C2" w:rsidRPr="00E821C2">
        <w:rPr>
          <w:sz w:val="27"/>
          <w:szCs w:val="27"/>
          <w:u w:val="single"/>
        </w:rPr>
        <w:t xml:space="preserve">06» </w:t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</w:r>
      <w:r w:rsidR="00E821C2" w:rsidRPr="00E821C2">
        <w:rPr>
          <w:sz w:val="27"/>
          <w:szCs w:val="27"/>
          <w:u w:val="single"/>
        </w:rPr>
        <w:softHyphen/>
        <w:t>липня 2018 року</w:t>
      </w:r>
    </w:p>
    <w:sectPr w:rsidR="008C05D7" w:rsidRPr="00E821C2" w:rsidSect="00BA2CDD">
      <w:headerReference w:type="even" r:id="rId7"/>
      <w:headerReference w:type="default" r:id="rId8"/>
      <w:pgSz w:w="11906" w:h="16838"/>
      <w:pgMar w:top="1134" w:right="567" w:bottom="719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4DC4" w:rsidRDefault="00404DC4">
      <w:r>
        <w:separator/>
      </w:r>
    </w:p>
  </w:endnote>
  <w:endnote w:type="continuationSeparator" w:id="0">
    <w:p w:rsidR="00404DC4" w:rsidRDefault="0040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4DC4" w:rsidRDefault="00404DC4">
      <w:r>
        <w:separator/>
      </w:r>
    </w:p>
  </w:footnote>
  <w:footnote w:type="continuationSeparator" w:id="0">
    <w:p w:rsidR="00404DC4" w:rsidRDefault="0040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7E4C" w:rsidRDefault="00AB7E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7E4C" w:rsidRDefault="00AB7E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7E4C" w:rsidRDefault="00AB7E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21C2">
      <w:rPr>
        <w:rStyle w:val="a4"/>
        <w:noProof/>
      </w:rPr>
      <w:t>4</w:t>
    </w:r>
    <w:r>
      <w:rPr>
        <w:rStyle w:val="a4"/>
      </w:rPr>
      <w:fldChar w:fldCharType="end"/>
    </w:r>
  </w:p>
  <w:p w:rsidR="00AB7E4C" w:rsidRDefault="00AB7E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06929"/>
    <w:multiLevelType w:val="singleLevel"/>
    <w:tmpl w:val="38E2AE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3148513A"/>
    <w:multiLevelType w:val="hybridMultilevel"/>
    <w:tmpl w:val="FC30869A"/>
    <w:lvl w:ilvl="0" w:tplc="B084682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A57160"/>
    <w:multiLevelType w:val="hybridMultilevel"/>
    <w:tmpl w:val="95708A72"/>
    <w:lvl w:ilvl="0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6D977B22"/>
    <w:multiLevelType w:val="singleLevel"/>
    <w:tmpl w:val="415027C4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6DD254A9"/>
    <w:multiLevelType w:val="hybridMultilevel"/>
    <w:tmpl w:val="1974ED16"/>
    <w:lvl w:ilvl="0" w:tplc="AEA444D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70455861"/>
    <w:multiLevelType w:val="hybridMultilevel"/>
    <w:tmpl w:val="2F540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B9"/>
    <w:rsid w:val="00005584"/>
    <w:rsid w:val="0000588D"/>
    <w:rsid w:val="00005B1B"/>
    <w:rsid w:val="00017085"/>
    <w:rsid w:val="00022DA2"/>
    <w:rsid w:val="000234FD"/>
    <w:rsid w:val="0002399A"/>
    <w:rsid w:val="0003096E"/>
    <w:rsid w:val="000311DA"/>
    <w:rsid w:val="0003243B"/>
    <w:rsid w:val="000338E1"/>
    <w:rsid w:val="000360A2"/>
    <w:rsid w:val="0004429A"/>
    <w:rsid w:val="00044B8C"/>
    <w:rsid w:val="00055D94"/>
    <w:rsid w:val="00060AEC"/>
    <w:rsid w:val="00062651"/>
    <w:rsid w:val="00071A12"/>
    <w:rsid w:val="00077528"/>
    <w:rsid w:val="00077CE5"/>
    <w:rsid w:val="000828B6"/>
    <w:rsid w:val="00094A60"/>
    <w:rsid w:val="000A1650"/>
    <w:rsid w:val="000A4B0C"/>
    <w:rsid w:val="000B3E13"/>
    <w:rsid w:val="000B6AD1"/>
    <w:rsid w:val="000B6F17"/>
    <w:rsid w:val="000C153A"/>
    <w:rsid w:val="000C29C9"/>
    <w:rsid w:val="000C46A2"/>
    <w:rsid w:val="000C48E6"/>
    <w:rsid w:val="000C6931"/>
    <w:rsid w:val="000C7778"/>
    <w:rsid w:val="000D7F0A"/>
    <w:rsid w:val="000E05E6"/>
    <w:rsid w:val="000E5435"/>
    <w:rsid w:val="000F1EE1"/>
    <w:rsid w:val="00107A1A"/>
    <w:rsid w:val="00112DED"/>
    <w:rsid w:val="001148BD"/>
    <w:rsid w:val="00120715"/>
    <w:rsid w:val="00121510"/>
    <w:rsid w:val="001335A9"/>
    <w:rsid w:val="00133DDB"/>
    <w:rsid w:val="001349D5"/>
    <w:rsid w:val="00137C8F"/>
    <w:rsid w:val="00144518"/>
    <w:rsid w:val="00151147"/>
    <w:rsid w:val="001522F5"/>
    <w:rsid w:val="00154159"/>
    <w:rsid w:val="00154964"/>
    <w:rsid w:val="00161E89"/>
    <w:rsid w:val="00162CE7"/>
    <w:rsid w:val="00166A0A"/>
    <w:rsid w:val="00172D8F"/>
    <w:rsid w:val="00176953"/>
    <w:rsid w:val="001779C6"/>
    <w:rsid w:val="001851E8"/>
    <w:rsid w:val="00185A69"/>
    <w:rsid w:val="00191F65"/>
    <w:rsid w:val="00192A54"/>
    <w:rsid w:val="00193A4D"/>
    <w:rsid w:val="00197102"/>
    <w:rsid w:val="001A7078"/>
    <w:rsid w:val="001B1CBC"/>
    <w:rsid w:val="001B1DF0"/>
    <w:rsid w:val="001B6FBE"/>
    <w:rsid w:val="001C19DC"/>
    <w:rsid w:val="001C3E5C"/>
    <w:rsid w:val="001C41B2"/>
    <w:rsid w:val="001C770F"/>
    <w:rsid w:val="001D0CB5"/>
    <w:rsid w:val="001D53C3"/>
    <w:rsid w:val="001E30D7"/>
    <w:rsid w:val="001E4423"/>
    <w:rsid w:val="001F29EA"/>
    <w:rsid w:val="001F371F"/>
    <w:rsid w:val="0020637D"/>
    <w:rsid w:val="002142B3"/>
    <w:rsid w:val="00221548"/>
    <w:rsid w:val="002229F0"/>
    <w:rsid w:val="002242C6"/>
    <w:rsid w:val="00225050"/>
    <w:rsid w:val="0022607C"/>
    <w:rsid w:val="00234614"/>
    <w:rsid w:val="00243B26"/>
    <w:rsid w:val="00256E34"/>
    <w:rsid w:val="0026169A"/>
    <w:rsid w:val="0026429A"/>
    <w:rsid w:val="00274ED4"/>
    <w:rsid w:val="0027525D"/>
    <w:rsid w:val="002804F7"/>
    <w:rsid w:val="00281B5F"/>
    <w:rsid w:val="0029266C"/>
    <w:rsid w:val="00297A6E"/>
    <w:rsid w:val="002A062E"/>
    <w:rsid w:val="002A143D"/>
    <w:rsid w:val="002B2EFF"/>
    <w:rsid w:val="002B5750"/>
    <w:rsid w:val="002C265D"/>
    <w:rsid w:val="002C58A5"/>
    <w:rsid w:val="002D2B11"/>
    <w:rsid w:val="002D345A"/>
    <w:rsid w:val="002D43FA"/>
    <w:rsid w:val="002E20BD"/>
    <w:rsid w:val="002F26D7"/>
    <w:rsid w:val="002F2B19"/>
    <w:rsid w:val="002F2DC8"/>
    <w:rsid w:val="002F5246"/>
    <w:rsid w:val="00302580"/>
    <w:rsid w:val="00306FD3"/>
    <w:rsid w:val="00321F40"/>
    <w:rsid w:val="00324570"/>
    <w:rsid w:val="003310DB"/>
    <w:rsid w:val="00333815"/>
    <w:rsid w:val="00337280"/>
    <w:rsid w:val="00342A4F"/>
    <w:rsid w:val="003433A7"/>
    <w:rsid w:val="0035265F"/>
    <w:rsid w:val="00354BF6"/>
    <w:rsid w:val="0036276E"/>
    <w:rsid w:val="00363CA9"/>
    <w:rsid w:val="003774C8"/>
    <w:rsid w:val="00380B0F"/>
    <w:rsid w:val="00380D0D"/>
    <w:rsid w:val="003942D3"/>
    <w:rsid w:val="003A48A3"/>
    <w:rsid w:val="003B36D4"/>
    <w:rsid w:val="003D0089"/>
    <w:rsid w:val="003D25FD"/>
    <w:rsid w:val="003D3347"/>
    <w:rsid w:val="003E42EA"/>
    <w:rsid w:val="003E5C53"/>
    <w:rsid w:val="003F09A5"/>
    <w:rsid w:val="003F73D8"/>
    <w:rsid w:val="00400986"/>
    <w:rsid w:val="00404067"/>
    <w:rsid w:val="00404DC4"/>
    <w:rsid w:val="00416C41"/>
    <w:rsid w:val="004364CF"/>
    <w:rsid w:val="00444889"/>
    <w:rsid w:val="00451FDA"/>
    <w:rsid w:val="0045437C"/>
    <w:rsid w:val="00462F3C"/>
    <w:rsid w:val="0047678A"/>
    <w:rsid w:val="004967D7"/>
    <w:rsid w:val="004A52FF"/>
    <w:rsid w:val="004C336C"/>
    <w:rsid w:val="004D62F8"/>
    <w:rsid w:val="004E6B86"/>
    <w:rsid w:val="004F1D3D"/>
    <w:rsid w:val="004F47CE"/>
    <w:rsid w:val="00511F71"/>
    <w:rsid w:val="00515F9F"/>
    <w:rsid w:val="00525B57"/>
    <w:rsid w:val="00527918"/>
    <w:rsid w:val="00532340"/>
    <w:rsid w:val="005334DB"/>
    <w:rsid w:val="005352C0"/>
    <w:rsid w:val="00537BEF"/>
    <w:rsid w:val="00540886"/>
    <w:rsid w:val="00541D9A"/>
    <w:rsid w:val="00545D6B"/>
    <w:rsid w:val="0054703E"/>
    <w:rsid w:val="00551514"/>
    <w:rsid w:val="00563A12"/>
    <w:rsid w:val="00563A7C"/>
    <w:rsid w:val="00567B37"/>
    <w:rsid w:val="00567EBF"/>
    <w:rsid w:val="00567ED6"/>
    <w:rsid w:val="00584965"/>
    <w:rsid w:val="00596A40"/>
    <w:rsid w:val="005A58B1"/>
    <w:rsid w:val="005A66DC"/>
    <w:rsid w:val="005B43F9"/>
    <w:rsid w:val="005B747E"/>
    <w:rsid w:val="005C3F7E"/>
    <w:rsid w:val="005D7FCA"/>
    <w:rsid w:val="005E230D"/>
    <w:rsid w:val="00607202"/>
    <w:rsid w:val="0061194D"/>
    <w:rsid w:val="00611AC9"/>
    <w:rsid w:val="00612E33"/>
    <w:rsid w:val="00620B57"/>
    <w:rsid w:val="006243D4"/>
    <w:rsid w:val="00627D58"/>
    <w:rsid w:val="00630326"/>
    <w:rsid w:val="0063125F"/>
    <w:rsid w:val="006327B4"/>
    <w:rsid w:val="006346DC"/>
    <w:rsid w:val="006419F3"/>
    <w:rsid w:val="00643279"/>
    <w:rsid w:val="00647A7D"/>
    <w:rsid w:val="006536AA"/>
    <w:rsid w:val="00655A72"/>
    <w:rsid w:val="00657FFC"/>
    <w:rsid w:val="00660178"/>
    <w:rsid w:val="00662750"/>
    <w:rsid w:val="00662A17"/>
    <w:rsid w:val="00665F7E"/>
    <w:rsid w:val="006679CA"/>
    <w:rsid w:val="00667AA8"/>
    <w:rsid w:val="00667C54"/>
    <w:rsid w:val="00670FAD"/>
    <w:rsid w:val="00676D77"/>
    <w:rsid w:val="006801AE"/>
    <w:rsid w:val="00690837"/>
    <w:rsid w:val="00691271"/>
    <w:rsid w:val="00697462"/>
    <w:rsid w:val="006B226C"/>
    <w:rsid w:val="006B3320"/>
    <w:rsid w:val="006C5D5B"/>
    <w:rsid w:val="006D0FBE"/>
    <w:rsid w:val="006D1707"/>
    <w:rsid w:val="006D2DE2"/>
    <w:rsid w:val="006D59CA"/>
    <w:rsid w:val="006E45EB"/>
    <w:rsid w:val="006F1407"/>
    <w:rsid w:val="006F66C9"/>
    <w:rsid w:val="007065F6"/>
    <w:rsid w:val="00725D1A"/>
    <w:rsid w:val="00726DF1"/>
    <w:rsid w:val="007304C5"/>
    <w:rsid w:val="007307F5"/>
    <w:rsid w:val="00735396"/>
    <w:rsid w:val="00743AF4"/>
    <w:rsid w:val="007446AC"/>
    <w:rsid w:val="00744F97"/>
    <w:rsid w:val="0074618A"/>
    <w:rsid w:val="007657B6"/>
    <w:rsid w:val="007678F1"/>
    <w:rsid w:val="007761D2"/>
    <w:rsid w:val="007779FD"/>
    <w:rsid w:val="007813DA"/>
    <w:rsid w:val="00791FC7"/>
    <w:rsid w:val="0079352C"/>
    <w:rsid w:val="007A3CB9"/>
    <w:rsid w:val="007B6008"/>
    <w:rsid w:val="007C4C25"/>
    <w:rsid w:val="007C6256"/>
    <w:rsid w:val="007D10C3"/>
    <w:rsid w:val="007E05DA"/>
    <w:rsid w:val="007E1EF1"/>
    <w:rsid w:val="007F125F"/>
    <w:rsid w:val="007F2A91"/>
    <w:rsid w:val="007F4399"/>
    <w:rsid w:val="007F65A1"/>
    <w:rsid w:val="00803050"/>
    <w:rsid w:val="00815177"/>
    <w:rsid w:val="00817469"/>
    <w:rsid w:val="0082592F"/>
    <w:rsid w:val="008260D6"/>
    <w:rsid w:val="00836003"/>
    <w:rsid w:val="00854743"/>
    <w:rsid w:val="00863602"/>
    <w:rsid w:val="00863D55"/>
    <w:rsid w:val="00866F66"/>
    <w:rsid w:val="00885BA1"/>
    <w:rsid w:val="008A0202"/>
    <w:rsid w:val="008A15FE"/>
    <w:rsid w:val="008A27D2"/>
    <w:rsid w:val="008A2D3B"/>
    <w:rsid w:val="008A422D"/>
    <w:rsid w:val="008A54FF"/>
    <w:rsid w:val="008B4B77"/>
    <w:rsid w:val="008B65E5"/>
    <w:rsid w:val="008C05D7"/>
    <w:rsid w:val="008C2FF1"/>
    <w:rsid w:val="008C75E3"/>
    <w:rsid w:val="008C7BCA"/>
    <w:rsid w:val="008D231C"/>
    <w:rsid w:val="008D4E07"/>
    <w:rsid w:val="008D601C"/>
    <w:rsid w:val="008F28E8"/>
    <w:rsid w:val="0090409F"/>
    <w:rsid w:val="009121B3"/>
    <w:rsid w:val="00916E58"/>
    <w:rsid w:val="00921902"/>
    <w:rsid w:val="00933B3C"/>
    <w:rsid w:val="00941772"/>
    <w:rsid w:val="0094683F"/>
    <w:rsid w:val="0095030F"/>
    <w:rsid w:val="00950B84"/>
    <w:rsid w:val="00957E49"/>
    <w:rsid w:val="00966468"/>
    <w:rsid w:val="00967EB1"/>
    <w:rsid w:val="009826D6"/>
    <w:rsid w:val="00984C64"/>
    <w:rsid w:val="00986152"/>
    <w:rsid w:val="009A31D9"/>
    <w:rsid w:val="009B5A85"/>
    <w:rsid w:val="009B5B92"/>
    <w:rsid w:val="009B78FC"/>
    <w:rsid w:val="009C4640"/>
    <w:rsid w:val="009D24CA"/>
    <w:rsid w:val="009D2EC0"/>
    <w:rsid w:val="009D50BC"/>
    <w:rsid w:val="009E45BF"/>
    <w:rsid w:val="00A06C42"/>
    <w:rsid w:val="00A079A3"/>
    <w:rsid w:val="00A14435"/>
    <w:rsid w:val="00A17F21"/>
    <w:rsid w:val="00A203C0"/>
    <w:rsid w:val="00A20EC0"/>
    <w:rsid w:val="00A25C59"/>
    <w:rsid w:val="00A270DE"/>
    <w:rsid w:val="00A30C92"/>
    <w:rsid w:val="00A33047"/>
    <w:rsid w:val="00A335F2"/>
    <w:rsid w:val="00A336D0"/>
    <w:rsid w:val="00A363DA"/>
    <w:rsid w:val="00A554A2"/>
    <w:rsid w:val="00A60F47"/>
    <w:rsid w:val="00A62293"/>
    <w:rsid w:val="00A62DE6"/>
    <w:rsid w:val="00A72BD9"/>
    <w:rsid w:val="00A75237"/>
    <w:rsid w:val="00A906C2"/>
    <w:rsid w:val="00AA05D5"/>
    <w:rsid w:val="00AA26F1"/>
    <w:rsid w:val="00AA3A86"/>
    <w:rsid w:val="00AA651D"/>
    <w:rsid w:val="00AB2981"/>
    <w:rsid w:val="00AB4DFC"/>
    <w:rsid w:val="00AB7CAB"/>
    <w:rsid w:val="00AB7E4C"/>
    <w:rsid w:val="00AC1CF1"/>
    <w:rsid w:val="00AC2546"/>
    <w:rsid w:val="00AD33D0"/>
    <w:rsid w:val="00AD3B0C"/>
    <w:rsid w:val="00AD4AF3"/>
    <w:rsid w:val="00AF4912"/>
    <w:rsid w:val="00B00546"/>
    <w:rsid w:val="00B01A11"/>
    <w:rsid w:val="00B06680"/>
    <w:rsid w:val="00B14A61"/>
    <w:rsid w:val="00B15698"/>
    <w:rsid w:val="00B2019D"/>
    <w:rsid w:val="00B216AC"/>
    <w:rsid w:val="00B308AD"/>
    <w:rsid w:val="00B31769"/>
    <w:rsid w:val="00B4046B"/>
    <w:rsid w:val="00B412E0"/>
    <w:rsid w:val="00B432E5"/>
    <w:rsid w:val="00B44269"/>
    <w:rsid w:val="00B45006"/>
    <w:rsid w:val="00B4648D"/>
    <w:rsid w:val="00B54497"/>
    <w:rsid w:val="00B62CEE"/>
    <w:rsid w:val="00B6610C"/>
    <w:rsid w:val="00B70156"/>
    <w:rsid w:val="00B736B4"/>
    <w:rsid w:val="00B77895"/>
    <w:rsid w:val="00BA06E2"/>
    <w:rsid w:val="00BA2CDD"/>
    <w:rsid w:val="00BB5EEB"/>
    <w:rsid w:val="00BB73C1"/>
    <w:rsid w:val="00BC4075"/>
    <w:rsid w:val="00BC73B9"/>
    <w:rsid w:val="00BC78A4"/>
    <w:rsid w:val="00BD581A"/>
    <w:rsid w:val="00BE72F4"/>
    <w:rsid w:val="00BE7FB9"/>
    <w:rsid w:val="00C0221E"/>
    <w:rsid w:val="00C02664"/>
    <w:rsid w:val="00C02F3C"/>
    <w:rsid w:val="00C11447"/>
    <w:rsid w:val="00C228E4"/>
    <w:rsid w:val="00C23129"/>
    <w:rsid w:val="00C27A89"/>
    <w:rsid w:val="00C5394C"/>
    <w:rsid w:val="00C5395F"/>
    <w:rsid w:val="00C553FC"/>
    <w:rsid w:val="00C60F6A"/>
    <w:rsid w:val="00C71E31"/>
    <w:rsid w:val="00C87D6F"/>
    <w:rsid w:val="00C96AB5"/>
    <w:rsid w:val="00CA41ED"/>
    <w:rsid w:val="00CA462A"/>
    <w:rsid w:val="00CA4FC5"/>
    <w:rsid w:val="00CA5D42"/>
    <w:rsid w:val="00CB0E0B"/>
    <w:rsid w:val="00CB1110"/>
    <w:rsid w:val="00CB1712"/>
    <w:rsid w:val="00CB4491"/>
    <w:rsid w:val="00CC0AAB"/>
    <w:rsid w:val="00CC7175"/>
    <w:rsid w:val="00CD5A02"/>
    <w:rsid w:val="00CD7156"/>
    <w:rsid w:val="00CF44CC"/>
    <w:rsid w:val="00D037EF"/>
    <w:rsid w:val="00D13074"/>
    <w:rsid w:val="00D16FA6"/>
    <w:rsid w:val="00D31939"/>
    <w:rsid w:val="00D46555"/>
    <w:rsid w:val="00D47725"/>
    <w:rsid w:val="00D52A10"/>
    <w:rsid w:val="00D63DA1"/>
    <w:rsid w:val="00D70500"/>
    <w:rsid w:val="00D70854"/>
    <w:rsid w:val="00D871B0"/>
    <w:rsid w:val="00D94634"/>
    <w:rsid w:val="00D95F82"/>
    <w:rsid w:val="00DA31C4"/>
    <w:rsid w:val="00DA626A"/>
    <w:rsid w:val="00DB0BD9"/>
    <w:rsid w:val="00DB1950"/>
    <w:rsid w:val="00DB559C"/>
    <w:rsid w:val="00DC211F"/>
    <w:rsid w:val="00DC5224"/>
    <w:rsid w:val="00DC6A28"/>
    <w:rsid w:val="00DD6CA6"/>
    <w:rsid w:val="00DE2504"/>
    <w:rsid w:val="00DE627B"/>
    <w:rsid w:val="00DF11D1"/>
    <w:rsid w:val="00DF5908"/>
    <w:rsid w:val="00E05279"/>
    <w:rsid w:val="00E05C2A"/>
    <w:rsid w:val="00E07768"/>
    <w:rsid w:val="00E144CD"/>
    <w:rsid w:val="00E15395"/>
    <w:rsid w:val="00E20BD2"/>
    <w:rsid w:val="00E32277"/>
    <w:rsid w:val="00E329DC"/>
    <w:rsid w:val="00E41432"/>
    <w:rsid w:val="00E4448F"/>
    <w:rsid w:val="00E460AA"/>
    <w:rsid w:val="00E46958"/>
    <w:rsid w:val="00E6539F"/>
    <w:rsid w:val="00E703A7"/>
    <w:rsid w:val="00E7093B"/>
    <w:rsid w:val="00E75EBC"/>
    <w:rsid w:val="00E821C2"/>
    <w:rsid w:val="00E84400"/>
    <w:rsid w:val="00E90178"/>
    <w:rsid w:val="00E9787A"/>
    <w:rsid w:val="00EA369A"/>
    <w:rsid w:val="00EA4D06"/>
    <w:rsid w:val="00EC3F82"/>
    <w:rsid w:val="00EC6FCE"/>
    <w:rsid w:val="00EC7435"/>
    <w:rsid w:val="00ED5D47"/>
    <w:rsid w:val="00ED65BF"/>
    <w:rsid w:val="00ED7AB4"/>
    <w:rsid w:val="00EE48E8"/>
    <w:rsid w:val="00F02246"/>
    <w:rsid w:val="00F030FA"/>
    <w:rsid w:val="00F076C1"/>
    <w:rsid w:val="00F21AC8"/>
    <w:rsid w:val="00F21F10"/>
    <w:rsid w:val="00F32FC0"/>
    <w:rsid w:val="00F54AC2"/>
    <w:rsid w:val="00F56AB9"/>
    <w:rsid w:val="00F70B51"/>
    <w:rsid w:val="00F86D3A"/>
    <w:rsid w:val="00F9229C"/>
    <w:rsid w:val="00F94417"/>
    <w:rsid w:val="00FB04CB"/>
    <w:rsid w:val="00FC35FC"/>
    <w:rsid w:val="00FD0F30"/>
    <w:rsid w:val="00FD425E"/>
    <w:rsid w:val="00FE6CBE"/>
    <w:rsid w:val="00FF5577"/>
    <w:rsid w:val="00FF60F3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99882-38F1-4AFF-A252-C05F0D4D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E653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E3227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HTML">
    <w:name w:val="HTML Preformatted"/>
    <w:basedOn w:val="a"/>
    <w:rsid w:val="007F4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</w:rPr>
  </w:style>
  <w:style w:type="character" w:styleId="a5">
    <w:name w:val="Hyperlink"/>
    <w:basedOn w:val="a0"/>
    <w:rsid w:val="007F4399"/>
    <w:rPr>
      <w:strike w:val="0"/>
      <w:dstrike w:val="0"/>
      <w:color w:val="0260D0"/>
      <w:u w:val="none"/>
      <w:effect w:val="none"/>
    </w:rPr>
  </w:style>
  <w:style w:type="paragraph" w:styleId="a6">
    <w:name w:val="Body Text Indent"/>
    <w:basedOn w:val="a"/>
    <w:rsid w:val="00E6539F"/>
    <w:pPr>
      <w:widowControl w:val="0"/>
      <w:spacing w:line="216" w:lineRule="auto"/>
      <w:ind w:firstLine="708"/>
      <w:jc w:val="both"/>
    </w:pPr>
    <w:rPr>
      <w:b/>
      <w:i/>
      <w:sz w:val="28"/>
    </w:rPr>
  </w:style>
  <w:style w:type="paragraph" w:styleId="a7">
    <w:name w:val="Body Text"/>
    <w:basedOn w:val="a"/>
    <w:rsid w:val="00E6539F"/>
    <w:pPr>
      <w:spacing w:line="216" w:lineRule="auto"/>
      <w:jc w:val="both"/>
    </w:pPr>
    <w:rPr>
      <w:spacing w:val="-6"/>
      <w:sz w:val="28"/>
    </w:rPr>
  </w:style>
  <w:style w:type="paragraph" w:customStyle="1" w:styleId="Normal">
    <w:name w:val="Normal"/>
    <w:rsid w:val="00E6539F"/>
    <w:rPr>
      <w:lang w:eastAsia="ru-RU"/>
    </w:rPr>
  </w:style>
  <w:style w:type="paragraph" w:styleId="20">
    <w:name w:val="Body Text 2"/>
    <w:basedOn w:val="a"/>
    <w:rsid w:val="00E6539F"/>
    <w:pPr>
      <w:widowControl w:val="0"/>
      <w:spacing w:line="216" w:lineRule="auto"/>
      <w:jc w:val="both"/>
    </w:pPr>
    <w:rPr>
      <w:b/>
      <w:i/>
      <w:sz w:val="28"/>
    </w:rPr>
  </w:style>
  <w:style w:type="paragraph" w:styleId="21">
    <w:name w:val="Body Text Indent 2"/>
    <w:basedOn w:val="a"/>
    <w:rsid w:val="00E6539F"/>
    <w:pPr>
      <w:spacing w:line="228" w:lineRule="auto"/>
      <w:ind w:firstLine="708"/>
      <w:jc w:val="both"/>
    </w:pPr>
    <w:rPr>
      <w:sz w:val="28"/>
    </w:rPr>
  </w:style>
  <w:style w:type="paragraph" w:styleId="a8">
    <w:name w:val="footer"/>
    <w:basedOn w:val="a"/>
    <w:rsid w:val="00BC407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D16FA6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CB1712"/>
    <w:pPr>
      <w:jc w:val="center"/>
    </w:pPr>
    <w:rPr>
      <w:b/>
      <w:sz w:val="28"/>
    </w:rPr>
  </w:style>
  <w:style w:type="paragraph" w:styleId="ab">
    <w:name w:val="Plain Text"/>
    <w:basedOn w:val="a"/>
    <w:rsid w:val="00CB1712"/>
    <w:rPr>
      <w:rFonts w:ascii="Courier New" w:hAnsi="Courier New" w:cs="Courier New"/>
      <w:sz w:val="20"/>
      <w:szCs w:val="20"/>
      <w:lang w:eastAsia="uk-UA"/>
    </w:rPr>
  </w:style>
  <w:style w:type="table" w:styleId="ac">
    <w:name w:val="Table Grid"/>
    <w:basedOn w:val="a1"/>
    <w:rsid w:val="0022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243B26"/>
    <w:rPr>
      <w:i/>
      <w:iCs/>
    </w:rPr>
  </w:style>
  <w:style w:type="character" w:customStyle="1" w:styleId="rvts0">
    <w:name w:val="rvts0"/>
    <w:basedOn w:val="a0"/>
    <w:rsid w:val="003942D3"/>
  </w:style>
  <w:style w:type="paragraph" w:styleId="ae">
    <w:name w:val="Normal (Web)"/>
    <w:basedOn w:val="a"/>
    <w:uiPriority w:val="99"/>
    <w:unhideWhenUsed/>
    <w:rsid w:val="002D2B11"/>
    <w:pPr>
      <w:spacing w:before="100" w:beforeAutospacing="1" w:after="100" w:afterAutospacing="1"/>
    </w:pPr>
    <w:rPr>
      <w:lang w:eastAsia="uk-UA"/>
    </w:rPr>
  </w:style>
  <w:style w:type="character" w:styleId="af">
    <w:name w:val="Strong"/>
    <w:basedOn w:val="a0"/>
    <w:uiPriority w:val="22"/>
    <w:qFormat/>
    <w:rsid w:val="002D2B11"/>
    <w:rPr>
      <w:b/>
      <w:bCs/>
    </w:rPr>
  </w:style>
  <w:style w:type="character" w:customStyle="1" w:styleId="rvts23">
    <w:name w:val="rvts23"/>
    <w:rsid w:val="00D46555"/>
  </w:style>
  <w:style w:type="character" w:customStyle="1" w:styleId="rvts44">
    <w:name w:val="rvts44"/>
    <w:rsid w:val="00D46555"/>
  </w:style>
  <w:style w:type="paragraph" w:styleId="af0">
    <w:name w:val="List Paragraph"/>
    <w:basedOn w:val="a"/>
    <w:uiPriority w:val="34"/>
    <w:qFormat/>
    <w:rsid w:val="007F65A1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7542</Words>
  <Characters>4300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Аналіз регуляторного впливу</vt:lpstr>
    </vt:vector>
  </TitlesOfParts>
  <Company>БТИ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Пользователь</dc:creator>
  <cp:keywords/>
  <dc:description/>
  <cp:lastModifiedBy>User</cp:lastModifiedBy>
  <cp:revision>2</cp:revision>
  <cp:lastPrinted>2018-07-06T11:04:00Z</cp:lastPrinted>
  <dcterms:created xsi:type="dcterms:W3CDTF">2025-09-16T07:02:00Z</dcterms:created>
  <dcterms:modified xsi:type="dcterms:W3CDTF">2025-09-16T07:02:00Z</dcterms:modified>
</cp:coreProperties>
</file>