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1113" w:rsidRDefault="00F7124C" w:rsidP="0048111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8"/>
        </w:rPr>
        <w:t>Звіт про п</w:t>
      </w:r>
      <w:r w:rsidR="00923369">
        <w:rPr>
          <w:rFonts w:ascii="Times New Roman" w:eastAsia="Times New Roman" w:hAnsi="Times New Roman"/>
          <w:b/>
          <w:bCs/>
          <w:sz w:val="28"/>
          <w:szCs w:val="28"/>
        </w:rPr>
        <w:t>еріодичн</w:t>
      </w:r>
      <w:r>
        <w:rPr>
          <w:rFonts w:ascii="Times New Roman" w:eastAsia="Times New Roman" w:hAnsi="Times New Roman"/>
          <w:b/>
          <w:bCs/>
          <w:sz w:val="28"/>
          <w:szCs w:val="28"/>
        </w:rPr>
        <w:t>е відстеження</w:t>
      </w:r>
    </w:p>
    <w:p w:rsidR="00F7124C" w:rsidRDefault="00F7124C" w:rsidP="0048111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результативності регуляторного акту</w:t>
      </w:r>
    </w:p>
    <w:p w:rsidR="00F7124C" w:rsidRDefault="00F7124C" w:rsidP="004811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7124C" w:rsidRDefault="00F7124C">
      <w:pPr>
        <w:spacing w:before="280"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 1.    Вид та назва регуляторного акту </w:t>
      </w:r>
    </w:p>
    <w:p w:rsidR="00F7124C" w:rsidRDefault="00F7124C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Наказ державного архіву Херсонської області від 19 жовтня 2009 року № 91 «Про затвердження  цін на роботи (послуги) із забезпечення збереженості та науково-технічного опрацювання документів на підприємствах, в установах і організаціях, а також в сфері використання архівних документів, що виконуються державним архівом Херсонської області»</w:t>
      </w:r>
    </w:p>
    <w:p w:rsidR="00F7124C" w:rsidRDefault="00F7124C">
      <w:pPr>
        <w:spacing w:before="280"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    Виконавець заходів відстеження</w:t>
      </w:r>
    </w:p>
    <w:p w:rsidR="00F7124C" w:rsidRDefault="00F712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Державний архів Херсонської області</w:t>
      </w:r>
    </w:p>
    <w:p w:rsidR="00F7124C" w:rsidRDefault="00F7124C">
      <w:pPr>
        <w:spacing w:before="280"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3.    Цілі прийняття акту</w:t>
      </w:r>
    </w:p>
    <w:p w:rsidR="00F7124C" w:rsidRDefault="00F712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Цілями прийняття вказаного нормативно-правового акту є організація документів, формування та збереження документів Національного архівного фонду, надання консультативно-методичної допомоги з даних питань, задоволення інформаційних потреб суспільства і держави, реалізація прав та законних інтересів людини.</w:t>
      </w:r>
    </w:p>
    <w:p w:rsidR="00F7124C" w:rsidRDefault="00F7124C">
      <w:pPr>
        <w:spacing w:before="280"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4.    </w:t>
      </w:r>
      <w:r>
        <w:rPr>
          <w:rFonts w:ascii="Times New Roman" w:eastAsia="Times New Roman" w:hAnsi="Times New Roman"/>
          <w:b/>
          <w:bCs/>
          <w:sz w:val="28"/>
          <w:szCs w:val="28"/>
        </w:rPr>
        <w:t>Строк виконання заходів з відстеження</w:t>
      </w:r>
    </w:p>
    <w:p w:rsidR="00F7124C" w:rsidRDefault="00F712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</w:t>
      </w:r>
      <w:r w:rsidR="00D46750">
        <w:rPr>
          <w:rFonts w:ascii="Times New Roman" w:hAnsi="Times New Roman"/>
          <w:sz w:val="28"/>
          <w:szCs w:val="28"/>
        </w:rPr>
        <w:t>1</w:t>
      </w:r>
      <w:r w:rsidR="00922026">
        <w:rPr>
          <w:rFonts w:ascii="Times New Roman" w:hAnsi="Times New Roman"/>
          <w:sz w:val="28"/>
          <w:szCs w:val="28"/>
        </w:rPr>
        <w:t xml:space="preserve"> </w:t>
      </w:r>
      <w:r w:rsidR="00714DD0">
        <w:rPr>
          <w:rFonts w:ascii="Times New Roman" w:hAnsi="Times New Roman"/>
          <w:sz w:val="28"/>
          <w:szCs w:val="28"/>
        </w:rPr>
        <w:t>квіт</w:t>
      </w:r>
      <w:r w:rsidR="000B2F95">
        <w:rPr>
          <w:rFonts w:ascii="Times New Roman" w:hAnsi="Times New Roman"/>
          <w:sz w:val="28"/>
          <w:szCs w:val="28"/>
        </w:rPr>
        <w:t>ня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714DD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року по </w:t>
      </w:r>
      <w:r w:rsidR="00714DD0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</w:t>
      </w:r>
      <w:r w:rsidR="00714DD0">
        <w:rPr>
          <w:rFonts w:ascii="Times New Roman" w:hAnsi="Times New Roman"/>
          <w:sz w:val="28"/>
          <w:szCs w:val="28"/>
        </w:rPr>
        <w:t>трав</w:t>
      </w:r>
      <w:r w:rsidR="00481113">
        <w:rPr>
          <w:rFonts w:ascii="Times New Roman" w:hAnsi="Times New Roman"/>
          <w:sz w:val="28"/>
          <w:szCs w:val="28"/>
        </w:rPr>
        <w:t>ня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714DD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року. </w:t>
      </w:r>
    </w:p>
    <w:p w:rsidR="00F7124C" w:rsidRDefault="00F712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Період для відстеження  20</w:t>
      </w:r>
      <w:r w:rsidR="00D46750">
        <w:rPr>
          <w:rFonts w:ascii="Times New Roman" w:hAnsi="Times New Roman"/>
          <w:sz w:val="28"/>
          <w:szCs w:val="28"/>
        </w:rPr>
        <w:t>1</w:t>
      </w:r>
      <w:r w:rsidR="00714DD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-201</w:t>
      </w:r>
      <w:r w:rsidR="00714DD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роки.</w:t>
      </w:r>
    </w:p>
    <w:p w:rsidR="00F7124C" w:rsidRDefault="00F7124C">
      <w:pPr>
        <w:spacing w:before="280"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5.    Тип відстеження</w:t>
      </w:r>
    </w:p>
    <w:p w:rsidR="00F7124C" w:rsidRDefault="00F712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Періодичне відстеження</w:t>
      </w:r>
    </w:p>
    <w:p w:rsidR="00F7124C" w:rsidRDefault="00F7124C">
      <w:pPr>
        <w:spacing w:before="280"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6.    Методи одержання результатів відстеження                      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Статистичний метод </w:t>
      </w:r>
    </w:p>
    <w:p w:rsidR="00F7124C" w:rsidRDefault="00F7124C">
      <w:pPr>
        <w:spacing w:before="280"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7.  Дані та припущення, на основі яких відстежувалася результативність, а також способи одержання даних</w:t>
      </w:r>
    </w:p>
    <w:p w:rsidR="00F7124C" w:rsidRDefault="00F7124C" w:rsidP="00481113">
      <w:pPr>
        <w:spacing w:before="28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Відстеження результативності зазначеного регуляторного акту здійснювалося  шляхом аналізу</w:t>
      </w:r>
      <w:r w:rsidR="00E06E91">
        <w:rPr>
          <w:rFonts w:ascii="Times New Roman" w:hAnsi="Times New Roman"/>
          <w:sz w:val="28"/>
          <w:szCs w:val="28"/>
        </w:rPr>
        <w:t xml:space="preserve"> кількості наданих послуг та</w:t>
      </w:r>
      <w:r>
        <w:rPr>
          <w:rFonts w:ascii="Times New Roman" w:hAnsi="Times New Roman"/>
          <w:sz w:val="28"/>
          <w:szCs w:val="28"/>
        </w:rPr>
        <w:t xml:space="preserve"> надходження коштів від надання архівних послуг на спеціальний рахунок держархіву області та щомісячним звітуванням до </w:t>
      </w:r>
      <w:r w:rsidR="00481113">
        <w:rPr>
          <w:rFonts w:ascii="Times New Roman" w:hAnsi="Times New Roman"/>
          <w:sz w:val="28"/>
          <w:szCs w:val="28"/>
        </w:rPr>
        <w:t>Департаменту фінансів</w:t>
      </w:r>
      <w:r>
        <w:rPr>
          <w:rFonts w:ascii="Times New Roman" w:hAnsi="Times New Roman"/>
          <w:sz w:val="28"/>
          <w:szCs w:val="28"/>
        </w:rPr>
        <w:t xml:space="preserve"> обласної державної адміністрації та Головного управління державно</w:t>
      </w:r>
      <w:r w:rsidR="00481113">
        <w:rPr>
          <w:rFonts w:ascii="Times New Roman" w:hAnsi="Times New Roman"/>
          <w:sz w:val="28"/>
          <w:szCs w:val="28"/>
        </w:rPr>
        <w:t>ї</w:t>
      </w:r>
      <w:r>
        <w:rPr>
          <w:rFonts w:ascii="Times New Roman" w:hAnsi="Times New Roman"/>
          <w:sz w:val="28"/>
          <w:szCs w:val="28"/>
        </w:rPr>
        <w:t xml:space="preserve"> казначейс</w:t>
      </w:r>
      <w:r w:rsidR="00481113">
        <w:rPr>
          <w:rFonts w:ascii="Times New Roman" w:hAnsi="Times New Roman"/>
          <w:sz w:val="28"/>
          <w:szCs w:val="28"/>
        </w:rPr>
        <w:t>ької служби</w:t>
      </w:r>
      <w:r>
        <w:rPr>
          <w:rFonts w:ascii="Times New Roman" w:hAnsi="Times New Roman"/>
          <w:sz w:val="28"/>
          <w:szCs w:val="28"/>
        </w:rPr>
        <w:t xml:space="preserve"> України у Херсонській області, а також звітуванням до Державної </w:t>
      </w:r>
      <w:r w:rsidR="0048111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рхівної служби України. </w:t>
      </w:r>
    </w:p>
    <w:p w:rsidR="00F7124C" w:rsidRDefault="00F7124C">
      <w:pPr>
        <w:spacing w:before="280"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8. Кількісні та якісні значення показників результативності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44"/>
        <w:gridCol w:w="2410"/>
        <w:gridCol w:w="2527"/>
      </w:tblGrid>
      <w:tr w:rsidR="00F7124C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124C" w:rsidRDefault="00F7124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Показники результативності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124C" w:rsidRDefault="00F7124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Базове відстеження</w:t>
            </w:r>
          </w:p>
          <w:p w:rsidR="00F7124C" w:rsidRDefault="00F7124C" w:rsidP="00714D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(20</w:t>
            </w:r>
            <w:r w:rsidR="00D46750">
              <w:rPr>
                <w:rFonts w:ascii="Times New Roman" w:hAnsi="Times New Roman"/>
                <w:sz w:val="28"/>
                <w:szCs w:val="28"/>
              </w:rPr>
              <w:t>1</w:t>
            </w:r>
            <w:r w:rsidR="00714DD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р.)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4C" w:rsidRDefault="00F7124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481113">
              <w:rPr>
                <w:rFonts w:ascii="Times New Roman" w:hAnsi="Times New Roman"/>
                <w:sz w:val="28"/>
                <w:szCs w:val="28"/>
              </w:rPr>
              <w:t>еріодич</w:t>
            </w:r>
            <w:r>
              <w:rPr>
                <w:rFonts w:ascii="Times New Roman" w:hAnsi="Times New Roman"/>
                <w:sz w:val="28"/>
                <w:szCs w:val="28"/>
              </w:rPr>
              <w:t>не відстеження</w:t>
            </w:r>
          </w:p>
          <w:p w:rsidR="00F7124C" w:rsidRDefault="00F7124C" w:rsidP="00714D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(201</w:t>
            </w:r>
            <w:r w:rsidR="00714DD0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р.)</w:t>
            </w:r>
          </w:p>
        </w:tc>
      </w:tr>
      <w:tr w:rsidR="00F7124C">
        <w:tc>
          <w:tcPr>
            <w:tcW w:w="4644" w:type="dxa"/>
            <w:tcBorders>
              <w:left w:val="single" w:sz="4" w:space="0" w:color="000000"/>
              <w:bottom w:val="single" w:sz="4" w:space="0" w:color="000000"/>
            </w:tcBorders>
          </w:tcPr>
          <w:p w:rsidR="00F7124C" w:rsidRDefault="00F7124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 надходжень від надання платних послуг на спеціальний рахунок, тис. грн.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F7124C" w:rsidRDefault="00714D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14,1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4C" w:rsidRDefault="00714D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</w:tr>
      <w:tr w:rsidR="00F7124C">
        <w:tc>
          <w:tcPr>
            <w:tcW w:w="4644" w:type="dxa"/>
            <w:tcBorders>
              <w:left w:val="single" w:sz="4" w:space="0" w:color="000000"/>
              <w:bottom w:val="single" w:sz="4" w:space="0" w:color="000000"/>
            </w:tcBorders>
          </w:tcPr>
          <w:p w:rsidR="00F7124C" w:rsidRDefault="00F7124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Кількість наданих послуг: </w:t>
            </w:r>
          </w:p>
          <w:p w:rsidR="00F7124C" w:rsidRDefault="00F712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від фізичних осіб</w:t>
            </w:r>
          </w:p>
          <w:p w:rsidR="00F7124C" w:rsidRDefault="00F712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від юридичних осіб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F7124C" w:rsidRDefault="00714D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  <w:p w:rsidR="00F7124C" w:rsidRDefault="00714D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  <w:p w:rsidR="00F7124C" w:rsidRDefault="00714D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4C" w:rsidRPr="00860EE4" w:rsidRDefault="00860EE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0EE4">
              <w:rPr>
                <w:rFonts w:ascii="Times New Roman" w:hAnsi="Times New Roman"/>
                <w:sz w:val="28"/>
                <w:szCs w:val="28"/>
                <w:lang w:val="ru-RU"/>
              </w:rPr>
              <w:t>55</w:t>
            </w:r>
          </w:p>
          <w:p w:rsidR="00F7124C" w:rsidRPr="00860EE4" w:rsidRDefault="00860E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0EE4">
              <w:rPr>
                <w:rFonts w:ascii="Times New Roman" w:hAnsi="Times New Roman"/>
                <w:sz w:val="28"/>
                <w:szCs w:val="28"/>
                <w:lang w:val="ru-RU"/>
              </w:rPr>
              <w:t>53</w:t>
            </w:r>
          </w:p>
          <w:p w:rsidR="00F7124C" w:rsidRPr="00860EE4" w:rsidRDefault="00D467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EE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F7124C" w:rsidRDefault="00F7124C">
      <w:pPr>
        <w:jc w:val="both"/>
        <w:rPr>
          <w:rFonts w:ascii="Times New Roman" w:hAnsi="Times New Roman"/>
          <w:sz w:val="28"/>
          <w:szCs w:val="28"/>
        </w:rPr>
      </w:pPr>
    </w:p>
    <w:p w:rsidR="00F7124C" w:rsidRDefault="00F7124C">
      <w:pPr>
        <w:spacing w:before="280"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9. Оцінка результатів реалізації регуляторного акт</w:t>
      </w:r>
      <w:r w:rsidR="00481113">
        <w:rPr>
          <w:rFonts w:ascii="Times New Roman" w:eastAsia="Times New Roman" w:hAnsi="Times New Roman"/>
          <w:b/>
          <w:bCs/>
          <w:sz w:val="28"/>
          <w:szCs w:val="28"/>
        </w:rPr>
        <w:t>у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та ступеня  досягнення  визначених цілей</w:t>
      </w:r>
    </w:p>
    <w:p w:rsidR="00F7124C" w:rsidRDefault="00D46750">
      <w:pPr>
        <w:autoSpaceDE w:val="0"/>
        <w:spacing w:after="0" w:line="240" w:lineRule="auto"/>
        <w:ind w:firstLine="993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Надходження</w:t>
      </w:r>
      <w:r w:rsidR="00F7124C">
        <w:rPr>
          <w:rFonts w:ascii="TimesNewRoman" w:hAnsi="TimesNewRoman" w:cs="TimesNewRoman"/>
          <w:sz w:val="28"/>
          <w:szCs w:val="28"/>
        </w:rPr>
        <w:t xml:space="preserve"> коштів від надання платних послуг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F7124C">
        <w:rPr>
          <w:rFonts w:ascii="TimesNewRoman" w:hAnsi="TimesNewRoman" w:cs="TimesNewRoman"/>
          <w:sz w:val="28"/>
          <w:szCs w:val="28"/>
        </w:rPr>
        <w:t>дозволило спрямувати кошти на розвиток архівної справи та часткове покриття видатків на утримання державного архіву</w:t>
      </w:r>
      <w:r>
        <w:rPr>
          <w:rFonts w:ascii="TimesNewRoman" w:hAnsi="TimesNewRoman" w:cs="TimesNewRoman"/>
          <w:sz w:val="28"/>
          <w:szCs w:val="28"/>
        </w:rPr>
        <w:t xml:space="preserve"> обла</w:t>
      </w:r>
      <w:r w:rsidR="00891680">
        <w:rPr>
          <w:rFonts w:ascii="TimesNewRoman" w:hAnsi="TimesNewRoman" w:cs="TimesNewRoman"/>
          <w:sz w:val="28"/>
          <w:szCs w:val="28"/>
        </w:rPr>
        <w:t>с</w:t>
      </w:r>
      <w:r>
        <w:rPr>
          <w:rFonts w:ascii="TimesNewRoman" w:hAnsi="TimesNewRoman" w:cs="TimesNewRoman"/>
          <w:sz w:val="28"/>
          <w:szCs w:val="28"/>
        </w:rPr>
        <w:t>ті</w:t>
      </w:r>
      <w:r w:rsidR="00F7124C">
        <w:rPr>
          <w:rFonts w:ascii="TimesNewRoman" w:hAnsi="TimesNewRoman" w:cs="TimesNewRoman"/>
          <w:sz w:val="28"/>
          <w:szCs w:val="28"/>
        </w:rPr>
        <w:t xml:space="preserve">, що сприяє більш раціональному використанню коштів Державного бюджету. </w:t>
      </w:r>
      <w:r w:rsidR="00891680">
        <w:rPr>
          <w:rFonts w:ascii="TimesNewRoman" w:hAnsi="TimesNewRoman" w:cs="TimesNewRoman"/>
          <w:sz w:val="28"/>
          <w:szCs w:val="28"/>
        </w:rPr>
        <w:t>За рахунок спецкоштів оплачу</w:t>
      </w:r>
      <w:r w:rsidR="001D7A6E">
        <w:rPr>
          <w:rFonts w:ascii="TimesNewRoman" w:hAnsi="TimesNewRoman" w:cs="TimesNewRoman"/>
          <w:sz w:val="28"/>
          <w:szCs w:val="28"/>
        </w:rPr>
        <w:t>валися</w:t>
      </w:r>
      <w:r w:rsidR="00891680">
        <w:rPr>
          <w:rFonts w:ascii="TimesNewRoman" w:hAnsi="TimesNewRoman" w:cs="TimesNewRoman"/>
          <w:sz w:val="28"/>
          <w:szCs w:val="28"/>
        </w:rPr>
        <w:t xml:space="preserve"> послуги з охорони приміщень архіву, частково оплачуютьс</w:t>
      </w:r>
      <w:r w:rsidR="00982BA2">
        <w:rPr>
          <w:rFonts w:ascii="TimesNewRoman" w:hAnsi="TimesNewRoman" w:cs="TimesNewRoman"/>
          <w:sz w:val="28"/>
          <w:szCs w:val="28"/>
        </w:rPr>
        <w:t>я комунальні послуги, що дозволяє держархіву області уникнути кредиторської заборгованості по комунальним платежам.</w:t>
      </w:r>
      <w:r w:rsidR="00891680">
        <w:rPr>
          <w:rFonts w:ascii="TimesNewRoman" w:hAnsi="TimesNewRoman" w:cs="TimesNewRoman"/>
          <w:sz w:val="28"/>
          <w:szCs w:val="28"/>
        </w:rPr>
        <w:t xml:space="preserve"> Придбано </w:t>
      </w:r>
      <w:r w:rsidR="00717463">
        <w:rPr>
          <w:rFonts w:ascii="TimesNewRoman" w:hAnsi="TimesNewRoman" w:cs="TimesNewRoman"/>
          <w:sz w:val="28"/>
          <w:szCs w:val="28"/>
        </w:rPr>
        <w:t xml:space="preserve">архівні короба, стелажне обладнання, </w:t>
      </w:r>
      <w:r w:rsidR="00717463" w:rsidRPr="00EB37BE">
        <w:rPr>
          <w:rFonts w:ascii="TimesNewRoman" w:hAnsi="TimesNewRoman" w:cs="TimesNewRoman"/>
          <w:sz w:val="28"/>
          <w:szCs w:val="28"/>
        </w:rPr>
        <w:t>комп’</w:t>
      </w:r>
      <w:r w:rsidR="00717463">
        <w:rPr>
          <w:rFonts w:ascii="TimesNewRoman" w:hAnsi="TimesNewRoman" w:cs="TimesNewRoman"/>
          <w:sz w:val="28"/>
          <w:szCs w:val="28"/>
        </w:rPr>
        <w:t>ютерну техніку</w:t>
      </w:r>
      <w:r w:rsidR="00EB37BE">
        <w:rPr>
          <w:rFonts w:ascii="TimesNewRoman" w:hAnsi="TimesNewRoman" w:cs="TimesNewRoman"/>
          <w:sz w:val="28"/>
          <w:szCs w:val="28"/>
        </w:rPr>
        <w:t xml:space="preserve"> (4 комп’ютери, </w:t>
      </w:r>
      <w:r w:rsidR="00F76DD0">
        <w:rPr>
          <w:rFonts w:ascii="TimesNewRoman" w:hAnsi="TimesNewRoman" w:cs="TimesNewRoman"/>
          <w:sz w:val="28"/>
          <w:szCs w:val="28"/>
        </w:rPr>
        <w:t xml:space="preserve">               </w:t>
      </w:r>
      <w:r w:rsidR="00EB37BE">
        <w:rPr>
          <w:rFonts w:ascii="TimesNewRoman" w:hAnsi="TimesNewRoman" w:cs="TimesNewRoman"/>
          <w:sz w:val="28"/>
          <w:szCs w:val="28"/>
        </w:rPr>
        <w:t>2 багатофункціональних пристрої, фотоапарат, флешнакопичувач)</w:t>
      </w:r>
      <w:r w:rsidR="00891680">
        <w:rPr>
          <w:rFonts w:ascii="TimesNewRoman" w:hAnsi="TimesNewRoman" w:cs="TimesNewRoman"/>
          <w:sz w:val="28"/>
          <w:szCs w:val="28"/>
        </w:rPr>
        <w:t>,</w:t>
      </w:r>
      <w:r w:rsidR="00717463" w:rsidRPr="00EB37BE">
        <w:rPr>
          <w:rFonts w:ascii="TimesNewRoman" w:hAnsi="TimesNewRoman" w:cs="TimesNewRoman"/>
          <w:sz w:val="28"/>
          <w:szCs w:val="28"/>
        </w:rPr>
        <w:t xml:space="preserve"> </w:t>
      </w:r>
      <w:r w:rsidR="00717463">
        <w:rPr>
          <w:rFonts w:ascii="TimesNewRoman" w:hAnsi="TimesNewRoman" w:cs="TimesNewRoman"/>
          <w:sz w:val="28"/>
          <w:szCs w:val="28"/>
        </w:rPr>
        <w:t>антивірусне програмне забезпечення,</w:t>
      </w:r>
      <w:r w:rsidR="00982BA2">
        <w:rPr>
          <w:rFonts w:ascii="TimesNewRoman" w:hAnsi="TimesNewRoman" w:cs="TimesNewRoman"/>
          <w:sz w:val="28"/>
          <w:szCs w:val="28"/>
        </w:rPr>
        <w:t xml:space="preserve"> проведено медичний огляд працівників.</w:t>
      </w:r>
      <w:r w:rsidR="00717463">
        <w:rPr>
          <w:rFonts w:ascii="TimesNewRoman" w:hAnsi="TimesNewRoman" w:cs="TimesNewRoman"/>
          <w:sz w:val="28"/>
          <w:szCs w:val="28"/>
        </w:rPr>
        <w:t xml:space="preserve"> Кошти витрачалися на видання архівних збірників, а саме: «Державний архів Херсонської області:</w:t>
      </w:r>
      <w:r w:rsidR="009B5B2A">
        <w:rPr>
          <w:rFonts w:ascii="TimesNewRoman" w:hAnsi="TimesNewRoman" w:cs="TimesNewRoman"/>
          <w:sz w:val="28"/>
          <w:szCs w:val="28"/>
        </w:rPr>
        <w:t xml:space="preserve"> Фонди періоду після 1917 року: анотований реєстр описів. Том 3» та «Архівна справа на Херсонщині. 1921 – 2017». </w:t>
      </w:r>
      <w:r w:rsidR="00891680">
        <w:rPr>
          <w:rFonts w:ascii="TimesNewRoman" w:hAnsi="TimesNewRoman" w:cs="TimesNewRoman"/>
          <w:sz w:val="28"/>
          <w:szCs w:val="28"/>
        </w:rPr>
        <w:t xml:space="preserve"> </w:t>
      </w:r>
      <w:r w:rsidR="00F7124C">
        <w:rPr>
          <w:rFonts w:ascii="TimesNewRoman" w:hAnsi="TimesNewRoman" w:cs="TimesNewRoman"/>
          <w:sz w:val="28"/>
          <w:szCs w:val="28"/>
        </w:rPr>
        <w:t>Пр</w:t>
      </w:r>
      <w:r w:rsidR="00891680">
        <w:rPr>
          <w:rFonts w:ascii="TimesNewRoman" w:hAnsi="TimesNewRoman" w:cs="TimesNewRoman"/>
          <w:sz w:val="28"/>
          <w:szCs w:val="28"/>
        </w:rPr>
        <w:t xml:space="preserve">оведено </w:t>
      </w:r>
      <w:r w:rsidR="00EB37BE">
        <w:rPr>
          <w:rFonts w:ascii="TimesNewRoman" w:hAnsi="TimesNewRoman" w:cs="TimesNewRoman"/>
          <w:sz w:val="28"/>
          <w:szCs w:val="28"/>
        </w:rPr>
        <w:t>частковий ремонт системи опалення будівлі архіву</w:t>
      </w:r>
      <w:r w:rsidR="00891680">
        <w:rPr>
          <w:rFonts w:ascii="TimesNewRoman" w:hAnsi="TimesNewRoman" w:cs="TimesNewRoman"/>
          <w:sz w:val="28"/>
          <w:szCs w:val="28"/>
        </w:rPr>
        <w:t xml:space="preserve"> по вул. </w:t>
      </w:r>
      <w:r w:rsidR="00EB37BE">
        <w:rPr>
          <w:rFonts w:ascii="TimesNewRoman" w:hAnsi="TimesNewRoman" w:cs="TimesNewRoman"/>
          <w:sz w:val="28"/>
          <w:szCs w:val="28"/>
        </w:rPr>
        <w:t>Ярослава Мудрого (Радянська)</w:t>
      </w:r>
      <w:r w:rsidR="00891680">
        <w:rPr>
          <w:rFonts w:ascii="TimesNewRoman" w:hAnsi="TimesNewRoman" w:cs="TimesNewRoman"/>
          <w:sz w:val="28"/>
          <w:szCs w:val="28"/>
        </w:rPr>
        <w:t xml:space="preserve">, </w:t>
      </w:r>
      <w:r w:rsidR="00EB37BE">
        <w:rPr>
          <w:rFonts w:ascii="TimesNewRoman" w:hAnsi="TimesNewRoman" w:cs="TimesNewRoman"/>
          <w:sz w:val="28"/>
          <w:szCs w:val="28"/>
        </w:rPr>
        <w:t>3</w:t>
      </w:r>
      <w:r w:rsidR="00982BA2">
        <w:rPr>
          <w:rFonts w:ascii="TimesNewRoman" w:hAnsi="TimesNewRoman" w:cs="TimesNewRoman"/>
          <w:sz w:val="28"/>
          <w:szCs w:val="28"/>
        </w:rPr>
        <w:t>. П</w:t>
      </w:r>
      <w:r w:rsidR="00F7124C">
        <w:rPr>
          <w:rFonts w:ascii="TimesNewRoman" w:hAnsi="TimesNewRoman" w:cs="TimesNewRoman"/>
          <w:sz w:val="28"/>
          <w:szCs w:val="28"/>
        </w:rPr>
        <w:t xml:space="preserve">ридбано </w:t>
      </w:r>
      <w:r w:rsidR="00EB37BE">
        <w:rPr>
          <w:rFonts w:ascii="TimesNewRoman" w:hAnsi="TimesNewRoman" w:cs="TimesNewRoman"/>
          <w:sz w:val="28"/>
          <w:szCs w:val="28"/>
        </w:rPr>
        <w:t>спецодяг для працівників архіву, енергозберігаючі лампи, металопластикові конструкції для покращення умов праці працівників</w:t>
      </w:r>
      <w:r w:rsidR="00F7124C">
        <w:rPr>
          <w:rFonts w:ascii="TimesNewRoman" w:hAnsi="TimesNewRoman" w:cs="TimesNewRoman"/>
          <w:sz w:val="28"/>
          <w:szCs w:val="28"/>
        </w:rPr>
        <w:t>.</w:t>
      </w:r>
      <w:r w:rsidR="00EB37BE">
        <w:rPr>
          <w:rFonts w:ascii="TimesNewRoman" w:hAnsi="TimesNewRoman" w:cs="TimesNewRoman"/>
          <w:sz w:val="28"/>
          <w:szCs w:val="28"/>
        </w:rPr>
        <w:t xml:space="preserve"> Придбано плитку для ремонту ганку будівлі архіву по</w:t>
      </w:r>
      <w:r w:rsidR="00F76DD0">
        <w:rPr>
          <w:rFonts w:ascii="TimesNewRoman" w:hAnsi="TimesNewRoman" w:cs="TimesNewRoman"/>
          <w:sz w:val="28"/>
          <w:szCs w:val="28"/>
        </w:rPr>
        <w:t xml:space="preserve">           </w:t>
      </w:r>
      <w:r w:rsidR="00EB37BE">
        <w:rPr>
          <w:rFonts w:ascii="TimesNewRoman" w:hAnsi="TimesNewRoman" w:cs="TimesNewRoman"/>
          <w:sz w:val="28"/>
          <w:szCs w:val="28"/>
        </w:rPr>
        <w:t xml:space="preserve"> вул. Ярослава Мудрого (Радянська), 3. Проведено ремонт системи відеоспостереження в будівлі архіву по вул. Михайлівській (Петренка), 6.</w:t>
      </w:r>
    </w:p>
    <w:p w:rsidR="00F7124C" w:rsidRDefault="00F7124C">
      <w:pPr>
        <w:spacing w:line="240" w:lineRule="auto"/>
        <w:ind w:firstLine="993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результаті проведеного відстеження рез</w:t>
      </w:r>
      <w:r w:rsidR="00481113">
        <w:rPr>
          <w:rFonts w:ascii="Times New Roman" w:eastAsia="Times New Roman" w:hAnsi="Times New Roman"/>
          <w:sz w:val="28"/>
          <w:szCs w:val="28"/>
        </w:rPr>
        <w:t>ультативності регуляторного акту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Наказ</w:t>
      </w:r>
      <w:r w:rsidR="00982BA2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державного архіву Херсонської області від</w:t>
      </w:r>
      <w:r w:rsidR="00651DCB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19 жовтня 2009 року № 91 «Про затвердження  цін на роботи (послуги) із забезпечення збереженості та науково-технічного опрацювання документів на підприємствах, в установах і організаціях, а також в сфері використання архівних документів, що виконуються державним архівом Херсонської області» </w:t>
      </w:r>
      <w:r>
        <w:rPr>
          <w:rFonts w:ascii="TimesNewRoman" w:hAnsi="TimesNewRoman" w:cs="TimesNewRoman"/>
          <w:sz w:val="28"/>
          <w:szCs w:val="28"/>
        </w:rPr>
        <w:t xml:space="preserve">можна зробити висновок про його доцільність. Регуляторний акт має високий ступінь досягнення визначених цілей, результати реалізації  його положень мають позитивну динаміку. </w:t>
      </w:r>
    </w:p>
    <w:p w:rsidR="00F7124C" w:rsidRDefault="00F712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держархіву                                                           </w:t>
      </w:r>
      <w:r w:rsidR="00982BA2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В.</w:t>
      </w:r>
      <w:r w:rsidR="00982BA2">
        <w:rPr>
          <w:rFonts w:ascii="Times New Roman" w:hAnsi="Times New Roman"/>
          <w:sz w:val="28"/>
          <w:szCs w:val="28"/>
        </w:rPr>
        <w:t>О.Лебідь</w:t>
      </w:r>
    </w:p>
    <w:sectPr w:rsidR="00F7124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20"/>
    <w:rsid w:val="000B2F95"/>
    <w:rsid w:val="00191AAC"/>
    <w:rsid w:val="001D7A6E"/>
    <w:rsid w:val="00300F7E"/>
    <w:rsid w:val="00481113"/>
    <w:rsid w:val="00651DCB"/>
    <w:rsid w:val="00714DD0"/>
    <w:rsid w:val="00717463"/>
    <w:rsid w:val="00860EE4"/>
    <w:rsid w:val="00874FCE"/>
    <w:rsid w:val="00891680"/>
    <w:rsid w:val="008F1924"/>
    <w:rsid w:val="00922026"/>
    <w:rsid w:val="00923369"/>
    <w:rsid w:val="00982BA2"/>
    <w:rsid w:val="009B5B2A"/>
    <w:rsid w:val="00D46750"/>
    <w:rsid w:val="00E06E91"/>
    <w:rsid w:val="00E46820"/>
    <w:rsid w:val="00EB37BE"/>
    <w:rsid w:val="00F7124C"/>
    <w:rsid w:val="00F7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133B1-9B5E-4487-9536-AFA17B79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List Paragraph"/>
    <w:basedOn w:val="a"/>
    <w:qFormat/>
    <w:pPr>
      <w:ind w:left="720"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2609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cp:lastPrinted>2112-12-31T22:00:00Z</cp:lastPrinted>
  <dcterms:created xsi:type="dcterms:W3CDTF">2025-09-16T07:03:00Z</dcterms:created>
  <dcterms:modified xsi:type="dcterms:W3CDTF">2025-09-16T07:03:00Z</dcterms:modified>
</cp:coreProperties>
</file>