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Оголошення</w:t>
      </w:r>
    </w:p>
    <w:p w:rsidR="00000000" w:rsidDel="00000000" w:rsidP="00000000" w:rsidRDefault="00000000" w:rsidRPr="00000000" w14:paraId="00000002">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Rule="auto"/>
        <w:ind w:firstLine="567"/>
        <w:jc w:val="both"/>
        <w:rPr>
          <w:rFonts w:ascii="Times New Roman" w:cs="Times New Roman" w:eastAsia="Times New Roman" w:hAnsi="Times New Roman"/>
          <w:sz w:val="28"/>
          <w:szCs w:val="28"/>
        </w:rPr>
      </w:pPr>
      <w:bookmarkStart w:colFirst="0" w:colLast="0" w:name="_lddxoj1v3hdl" w:id="0"/>
      <w:bookmarkEnd w:id="0"/>
      <w:r w:rsidDel="00000000" w:rsidR="00000000" w:rsidRPr="00000000">
        <w:rPr>
          <w:rFonts w:ascii="Times New Roman" w:cs="Times New Roman" w:eastAsia="Times New Roman" w:hAnsi="Times New Roman"/>
          <w:sz w:val="28"/>
          <w:szCs w:val="28"/>
          <w:rtl w:val="0"/>
        </w:rPr>
        <w:t xml:space="preserve">За результатами роботи Херсонської обласної комісії з прийняття рішень щодо виплати сільськогосподарським товаровиробникам дотації на одиницю угідь, на яких повністю втрачені (загинули) посіви сільськогосподарських культур внаслідок надзвичайних ситуацій техногенного та природного характеру, засідання якої відбулись 12 лютого та 23 березня 2026 року, було погоджено 236 заявок на відшкодування за 50,5 тис. га загиблих посівів сільськогосподарських культур на суму 237,5 млн грн.</w:t>
      </w:r>
    </w:p>
    <w:p w:rsidR="00000000" w:rsidDel="00000000" w:rsidP="00000000" w:rsidRDefault="00000000" w:rsidRPr="00000000" w14:paraId="00000004">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Засідання проводилось відповідно до Порядку використання коштів, передбачених у державному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характеру, затвердженого постановою Кабінету Міністрів України від 11 серпня 2021 року № 885 (у редакції постанови Кабінету Міністрів України від 21 січня 2026 року № 119).</w:t>
      </w:r>
    </w:p>
    <w:p w:rsidR="00000000" w:rsidDel="00000000" w:rsidP="00000000" w:rsidRDefault="00000000" w:rsidRPr="00000000" w14:paraId="00000005">
      <w:pPr>
        <w:spacing w:after="0"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U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