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271A" w:rsidRPr="00E4271A" w:rsidRDefault="00E4271A" w:rsidP="000A6A25">
      <w:pPr>
        <w:spacing w:after="0" w:line="235" w:lineRule="auto"/>
        <w:ind w:firstLine="5245"/>
        <w:jc w:val="both"/>
        <w:rPr>
          <w:rFonts w:ascii="Times New Roman" w:hAnsi="Times New Roman" w:cs="Times New Roman"/>
        </w:rPr>
      </w:pPr>
      <w:r w:rsidRPr="00E4271A">
        <w:rPr>
          <w:rFonts w:ascii="Times New Roman" w:hAnsi="Times New Roman" w:cs="Times New Roman"/>
        </w:rPr>
        <w:t xml:space="preserve">ЗАТВЕРДЖЕНО </w:t>
      </w:r>
    </w:p>
    <w:p w:rsidR="00062BBD" w:rsidRPr="00E4271A" w:rsidRDefault="00E4271A" w:rsidP="000A6A25">
      <w:pPr>
        <w:spacing w:after="0" w:line="235" w:lineRule="auto"/>
        <w:ind w:firstLine="5245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4271A">
        <w:rPr>
          <w:rFonts w:ascii="Times New Roman" w:hAnsi="Times New Roman" w:cs="Times New Roman"/>
          <w:sz w:val="27"/>
          <w:szCs w:val="27"/>
          <w:lang w:val="uk-UA"/>
        </w:rPr>
        <w:t>розпорядженням начальника</w:t>
      </w:r>
      <w:r w:rsidR="001D2747" w:rsidRPr="00E4271A">
        <w:rPr>
          <w:rFonts w:ascii="Times New Roman" w:hAnsi="Times New Roman" w:cs="Times New Roman"/>
          <w:sz w:val="27"/>
          <w:szCs w:val="27"/>
          <w:lang w:val="uk-UA"/>
        </w:rPr>
        <w:t xml:space="preserve">   </w:t>
      </w:r>
    </w:p>
    <w:p w:rsidR="00856783" w:rsidRPr="00E4271A" w:rsidRDefault="00856783" w:rsidP="000A6A25">
      <w:pPr>
        <w:spacing w:after="0" w:line="235" w:lineRule="auto"/>
        <w:ind w:firstLine="5245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4271A">
        <w:rPr>
          <w:rFonts w:ascii="Times New Roman" w:hAnsi="Times New Roman" w:cs="Times New Roman"/>
          <w:sz w:val="27"/>
          <w:szCs w:val="27"/>
          <w:lang w:val="uk-UA"/>
        </w:rPr>
        <w:t>обласної державної адміністрації</w:t>
      </w:r>
    </w:p>
    <w:p w:rsidR="00062BBD" w:rsidRPr="00ED4F09" w:rsidRDefault="00A567A2" w:rsidP="000A6A25">
      <w:pPr>
        <w:spacing w:after="0" w:line="235" w:lineRule="auto"/>
        <w:ind w:firstLine="5245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D4F09">
        <w:rPr>
          <w:rFonts w:ascii="Times New Roman" w:hAnsi="Times New Roman" w:cs="Times New Roman"/>
          <w:sz w:val="27"/>
          <w:szCs w:val="27"/>
          <w:lang w:val="uk-UA"/>
        </w:rPr>
        <w:t>__</w:t>
      </w:r>
      <w:r w:rsidR="00062BBD" w:rsidRPr="00ED4F09">
        <w:rPr>
          <w:rFonts w:ascii="Times New Roman" w:hAnsi="Times New Roman" w:cs="Times New Roman"/>
          <w:sz w:val="27"/>
          <w:szCs w:val="27"/>
          <w:lang w:val="uk-UA"/>
        </w:rPr>
        <w:t>____________</w:t>
      </w:r>
      <w:r w:rsidR="008821A4" w:rsidRPr="00ED4F09">
        <w:rPr>
          <w:rFonts w:ascii="Times New Roman" w:hAnsi="Times New Roman" w:cs="Times New Roman"/>
          <w:sz w:val="27"/>
          <w:szCs w:val="27"/>
          <w:lang w:val="uk-UA"/>
        </w:rPr>
        <w:t>___</w:t>
      </w:r>
      <w:r w:rsidR="00062BBD" w:rsidRPr="00ED4F09">
        <w:rPr>
          <w:rFonts w:ascii="Times New Roman" w:hAnsi="Times New Roman" w:cs="Times New Roman"/>
          <w:sz w:val="27"/>
          <w:szCs w:val="27"/>
          <w:lang w:val="uk-UA"/>
        </w:rPr>
        <w:t>_ № _________</w:t>
      </w:r>
    </w:p>
    <w:p w:rsidR="00062BBD" w:rsidRPr="00ED4F09" w:rsidRDefault="00062BBD" w:rsidP="000A6A25">
      <w:pPr>
        <w:spacing w:after="0" w:line="235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9D792E" w:rsidRDefault="009D792E" w:rsidP="00E4271A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val="uk-UA" w:eastAsia="uk-UA"/>
        </w:rPr>
      </w:pPr>
    </w:p>
    <w:p w:rsidR="009D792E" w:rsidRDefault="009D792E" w:rsidP="00E4271A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val="uk-UA" w:eastAsia="uk-UA"/>
        </w:rPr>
      </w:pPr>
    </w:p>
    <w:p w:rsidR="009D792E" w:rsidRPr="007F52F4" w:rsidRDefault="009D792E" w:rsidP="00E4271A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val="uk-UA" w:eastAsia="uk-UA"/>
        </w:rPr>
      </w:pPr>
    </w:p>
    <w:p w:rsidR="009D792E" w:rsidRPr="007F52F4" w:rsidRDefault="009D792E" w:rsidP="00E4271A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val="uk-UA" w:eastAsia="uk-UA"/>
        </w:rPr>
      </w:pPr>
    </w:p>
    <w:p w:rsidR="009D792E" w:rsidRPr="007F52F4" w:rsidRDefault="00CD2EA5" w:rsidP="00E4271A">
      <w:pPr>
        <w:spacing w:after="0" w:line="235" w:lineRule="auto"/>
        <w:jc w:val="center"/>
        <w:rPr>
          <w:rFonts w:ascii="Times New Roman" w:hAnsi="Times New Roman" w:cs="Times New Roman"/>
          <w:sz w:val="52"/>
          <w:szCs w:val="52"/>
          <w:lang w:val="uk-UA"/>
        </w:rPr>
      </w:pPr>
      <w:r w:rsidRPr="007F52F4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val="uk-UA" w:eastAsia="uk-UA"/>
        </w:rPr>
        <w:t>ПРОГРАМА</w:t>
      </w:r>
      <w:r w:rsidR="008821A4" w:rsidRPr="007F52F4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val="uk-UA" w:eastAsia="uk-UA"/>
        </w:rPr>
        <w:br/>
      </w:r>
      <w:r w:rsidR="00E4271A" w:rsidRPr="007F52F4">
        <w:rPr>
          <w:rFonts w:ascii="Times New Roman" w:hAnsi="Times New Roman" w:cs="Times New Roman"/>
          <w:sz w:val="52"/>
          <w:szCs w:val="52"/>
          <w:lang w:val="uk-UA"/>
        </w:rPr>
        <w:t xml:space="preserve">створення </w:t>
      </w:r>
      <w:proofErr w:type="spellStart"/>
      <w:r w:rsidR="00E4271A" w:rsidRPr="007F52F4">
        <w:rPr>
          <w:rFonts w:ascii="Times New Roman" w:hAnsi="Times New Roman" w:cs="Times New Roman"/>
          <w:sz w:val="52"/>
          <w:szCs w:val="52"/>
          <w:lang w:val="uk-UA"/>
        </w:rPr>
        <w:t>безбар’єрного</w:t>
      </w:r>
      <w:proofErr w:type="spellEnd"/>
      <w:r w:rsidR="00E4271A" w:rsidRPr="007F52F4">
        <w:rPr>
          <w:rFonts w:ascii="Times New Roman" w:hAnsi="Times New Roman" w:cs="Times New Roman"/>
          <w:sz w:val="52"/>
          <w:szCs w:val="52"/>
          <w:lang w:val="uk-UA"/>
        </w:rPr>
        <w:t xml:space="preserve"> простору в Херсонській області </w:t>
      </w:r>
    </w:p>
    <w:p w:rsidR="000A6A25" w:rsidRPr="007F52F4" w:rsidRDefault="00E4271A" w:rsidP="00E4271A">
      <w:pPr>
        <w:spacing w:after="0" w:line="235" w:lineRule="auto"/>
        <w:jc w:val="center"/>
        <w:rPr>
          <w:rFonts w:ascii="Times New Roman" w:hAnsi="Times New Roman" w:cs="Times New Roman"/>
          <w:sz w:val="52"/>
          <w:szCs w:val="52"/>
          <w:lang w:val="uk-UA"/>
        </w:rPr>
      </w:pPr>
      <w:r w:rsidRPr="007F52F4">
        <w:rPr>
          <w:rFonts w:ascii="Times New Roman" w:hAnsi="Times New Roman" w:cs="Times New Roman"/>
          <w:sz w:val="52"/>
          <w:szCs w:val="52"/>
          <w:lang w:val="uk-UA"/>
        </w:rPr>
        <w:t>на 2026-2027 роки</w:t>
      </w:r>
    </w:p>
    <w:p w:rsidR="00E4271A" w:rsidRPr="007F52F4" w:rsidRDefault="00E4271A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E4271A" w:rsidRPr="007F52F4" w:rsidRDefault="00E4271A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E4271A" w:rsidRPr="007F52F4" w:rsidRDefault="00E4271A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E4271A" w:rsidRPr="007F52F4" w:rsidRDefault="00E4271A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E4271A" w:rsidRPr="007F52F4" w:rsidRDefault="00E4271A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E4271A" w:rsidRPr="007F52F4" w:rsidRDefault="00E4271A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E4271A" w:rsidRPr="007F52F4" w:rsidRDefault="00E4271A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E4271A" w:rsidRPr="007F52F4" w:rsidRDefault="00E4271A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E4271A" w:rsidRPr="007F52F4" w:rsidRDefault="00E4271A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E4271A" w:rsidRPr="007F52F4" w:rsidRDefault="00E4271A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E4271A" w:rsidRPr="007F52F4" w:rsidRDefault="00E4271A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E4271A" w:rsidRPr="007F52F4" w:rsidRDefault="00E4271A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E4271A" w:rsidRPr="007F52F4" w:rsidRDefault="00E4271A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E4271A" w:rsidRPr="007F52F4" w:rsidRDefault="00E4271A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E4271A" w:rsidRPr="007F52F4" w:rsidRDefault="00E4271A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E4271A" w:rsidRPr="007F52F4" w:rsidRDefault="00E4271A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E4271A" w:rsidRPr="007F52F4" w:rsidRDefault="00E4271A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E4271A" w:rsidRPr="007F52F4" w:rsidRDefault="00E4271A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E4271A" w:rsidRPr="007F52F4" w:rsidRDefault="00E4271A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E4271A" w:rsidRPr="007F52F4" w:rsidRDefault="00E4271A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E4271A" w:rsidRPr="007F52F4" w:rsidRDefault="00E4271A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E4271A" w:rsidRPr="007F52F4" w:rsidRDefault="00E4271A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9D792E" w:rsidRPr="007F52F4" w:rsidRDefault="009D792E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7F52F4">
        <w:rPr>
          <w:rFonts w:ascii="Times New Roman" w:hAnsi="Times New Roman" w:cs="Times New Roman"/>
          <w:sz w:val="27"/>
          <w:szCs w:val="27"/>
          <w:lang w:val="uk-UA"/>
        </w:rPr>
        <w:t>м. Херсон</w:t>
      </w:r>
    </w:p>
    <w:p w:rsidR="00E4271A" w:rsidRPr="007F52F4" w:rsidRDefault="009D792E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7F52F4">
        <w:rPr>
          <w:rFonts w:ascii="Times New Roman" w:hAnsi="Times New Roman" w:cs="Times New Roman"/>
          <w:sz w:val="27"/>
          <w:szCs w:val="27"/>
          <w:lang w:val="uk-UA"/>
        </w:rPr>
        <w:t xml:space="preserve"> 2025</w:t>
      </w:r>
    </w:p>
    <w:p w:rsidR="00E4271A" w:rsidRPr="007F52F4" w:rsidRDefault="00E4271A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7655"/>
        <w:gridCol w:w="1411"/>
      </w:tblGrid>
      <w:tr w:rsidR="00E4271A" w:rsidRPr="007F52F4" w:rsidTr="00305132">
        <w:tc>
          <w:tcPr>
            <w:tcW w:w="9628" w:type="dxa"/>
            <w:gridSpan w:val="3"/>
          </w:tcPr>
          <w:p w:rsidR="00E4271A" w:rsidRPr="007F52F4" w:rsidRDefault="00E4271A" w:rsidP="00E4271A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F52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ЗМІСТ </w:t>
            </w:r>
          </w:p>
          <w:p w:rsidR="00E4271A" w:rsidRPr="007F52F4" w:rsidRDefault="00E4271A" w:rsidP="000A6A25">
            <w:pPr>
              <w:spacing w:line="235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E4271A" w:rsidRPr="007F52F4" w:rsidTr="009D792E">
        <w:tc>
          <w:tcPr>
            <w:tcW w:w="562" w:type="dxa"/>
          </w:tcPr>
          <w:p w:rsidR="00E4271A" w:rsidRPr="007F52F4" w:rsidRDefault="009D792E" w:rsidP="000A6A25">
            <w:pPr>
              <w:spacing w:line="235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F52F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7655" w:type="dxa"/>
          </w:tcPr>
          <w:p w:rsidR="00E4271A" w:rsidRPr="007F52F4" w:rsidRDefault="009D792E" w:rsidP="009D792E">
            <w:pPr>
              <w:spacing w:line="235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F52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Паспорт Програми</w:t>
            </w:r>
          </w:p>
        </w:tc>
        <w:tc>
          <w:tcPr>
            <w:tcW w:w="1411" w:type="dxa"/>
          </w:tcPr>
          <w:p w:rsidR="00E4271A" w:rsidRPr="007F52F4" w:rsidRDefault="009D792E" w:rsidP="000A6A25">
            <w:pPr>
              <w:spacing w:line="235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F52F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</w:t>
            </w:r>
          </w:p>
        </w:tc>
      </w:tr>
      <w:tr w:rsidR="00E4271A" w:rsidRPr="007F52F4" w:rsidTr="009D792E">
        <w:tc>
          <w:tcPr>
            <w:tcW w:w="562" w:type="dxa"/>
          </w:tcPr>
          <w:p w:rsidR="00E4271A" w:rsidRPr="007F52F4" w:rsidRDefault="009D792E" w:rsidP="000A6A25">
            <w:pPr>
              <w:spacing w:line="235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F52F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7655" w:type="dxa"/>
          </w:tcPr>
          <w:p w:rsidR="00E4271A" w:rsidRPr="007F52F4" w:rsidRDefault="009D792E" w:rsidP="009D792E">
            <w:pPr>
              <w:spacing w:line="235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F52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Визначення проблеми, на вирішення якої спрямована Програма</w:t>
            </w:r>
          </w:p>
        </w:tc>
        <w:tc>
          <w:tcPr>
            <w:tcW w:w="1411" w:type="dxa"/>
          </w:tcPr>
          <w:p w:rsidR="00E4271A" w:rsidRPr="007F52F4" w:rsidRDefault="00E54730" w:rsidP="000A6A25">
            <w:pPr>
              <w:spacing w:line="235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F52F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</w:t>
            </w:r>
          </w:p>
        </w:tc>
      </w:tr>
      <w:tr w:rsidR="00E4271A" w:rsidRPr="007F52F4" w:rsidTr="009D792E">
        <w:tc>
          <w:tcPr>
            <w:tcW w:w="562" w:type="dxa"/>
          </w:tcPr>
          <w:p w:rsidR="00E4271A" w:rsidRPr="007F52F4" w:rsidRDefault="009D792E" w:rsidP="000A6A25">
            <w:pPr>
              <w:spacing w:line="235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F52F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</w:t>
            </w:r>
          </w:p>
        </w:tc>
        <w:tc>
          <w:tcPr>
            <w:tcW w:w="7655" w:type="dxa"/>
          </w:tcPr>
          <w:p w:rsidR="00E4271A" w:rsidRPr="007F52F4" w:rsidRDefault="009D792E" w:rsidP="009D792E">
            <w:pPr>
              <w:spacing w:line="235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F52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Визначення мети програми</w:t>
            </w:r>
          </w:p>
        </w:tc>
        <w:tc>
          <w:tcPr>
            <w:tcW w:w="1411" w:type="dxa"/>
          </w:tcPr>
          <w:p w:rsidR="00E4271A" w:rsidRPr="007F52F4" w:rsidRDefault="00E54730" w:rsidP="000A6A25">
            <w:pPr>
              <w:spacing w:line="235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F52F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6</w:t>
            </w:r>
          </w:p>
        </w:tc>
      </w:tr>
      <w:tr w:rsidR="00E4271A" w:rsidRPr="007F52F4" w:rsidTr="009D792E">
        <w:tc>
          <w:tcPr>
            <w:tcW w:w="562" w:type="dxa"/>
          </w:tcPr>
          <w:p w:rsidR="00E4271A" w:rsidRPr="007F52F4" w:rsidRDefault="009D792E" w:rsidP="000A6A25">
            <w:pPr>
              <w:spacing w:line="235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F52F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</w:t>
            </w:r>
          </w:p>
        </w:tc>
        <w:tc>
          <w:tcPr>
            <w:tcW w:w="7655" w:type="dxa"/>
          </w:tcPr>
          <w:p w:rsidR="00E4271A" w:rsidRPr="007F52F4" w:rsidRDefault="009D792E" w:rsidP="009D792E">
            <w:pPr>
              <w:spacing w:line="235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F52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Обґрунтування шляхів і засобів вирішення проблеми, обсягів та джерел фінансування; строки та етапи виконання програми</w:t>
            </w:r>
          </w:p>
        </w:tc>
        <w:tc>
          <w:tcPr>
            <w:tcW w:w="1411" w:type="dxa"/>
          </w:tcPr>
          <w:p w:rsidR="00E4271A" w:rsidRPr="007F52F4" w:rsidRDefault="00E54730" w:rsidP="000A6A25">
            <w:pPr>
              <w:spacing w:line="235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F52F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6</w:t>
            </w:r>
          </w:p>
        </w:tc>
      </w:tr>
      <w:tr w:rsidR="00E4271A" w:rsidRPr="007F52F4" w:rsidTr="009D792E">
        <w:tc>
          <w:tcPr>
            <w:tcW w:w="562" w:type="dxa"/>
          </w:tcPr>
          <w:p w:rsidR="00E4271A" w:rsidRPr="007F52F4" w:rsidRDefault="009D792E" w:rsidP="000A6A25">
            <w:pPr>
              <w:spacing w:line="235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F52F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</w:t>
            </w:r>
          </w:p>
        </w:tc>
        <w:tc>
          <w:tcPr>
            <w:tcW w:w="7655" w:type="dxa"/>
          </w:tcPr>
          <w:p w:rsidR="00E4271A" w:rsidRPr="007F52F4" w:rsidRDefault="009D792E" w:rsidP="009D792E">
            <w:pPr>
              <w:spacing w:line="235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F52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Перелік завдань та заходів програми</w:t>
            </w:r>
          </w:p>
        </w:tc>
        <w:tc>
          <w:tcPr>
            <w:tcW w:w="1411" w:type="dxa"/>
          </w:tcPr>
          <w:p w:rsidR="00E4271A" w:rsidRPr="007F52F4" w:rsidRDefault="00E54730" w:rsidP="000A6A25">
            <w:pPr>
              <w:spacing w:line="235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F52F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8</w:t>
            </w:r>
          </w:p>
        </w:tc>
      </w:tr>
      <w:tr w:rsidR="00E4271A" w:rsidRPr="007F52F4" w:rsidTr="009D792E">
        <w:tc>
          <w:tcPr>
            <w:tcW w:w="562" w:type="dxa"/>
          </w:tcPr>
          <w:p w:rsidR="00E4271A" w:rsidRPr="007F52F4" w:rsidRDefault="009D792E" w:rsidP="000A6A25">
            <w:pPr>
              <w:spacing w:line="235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F52F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6</w:t>
            </w:r>
          </w:p>
        </w:tc>
        <w:tc>
          <w:tcPr>
            <w:tcW w:w="7655" w:type="dxa"/>
          </w:tcPr>
          <w:p w:rsidR="00E4271A" w:rsidRPr="007F52F4" w:rsidRDefault="009D792E" w:rsidP="009D792E">
            <w:pPr>
              <w:spacing w:line="235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F52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Очікувані результати виконання програми, визначення її ефективності</w:t>
            </w:r>
          </w:p>
        </w:tc>
        <w:tc>
          <w:tcPr>
            <w:tcW w:w="1411" w:type="dxa"/>
          </w:tcPr>
          <w:p w:rsidR="00E4271A" w:rsidRPr="007F52F4" w:rsidRDefault="00E54730" w:rsidP="000A6A25">
            <w:pPr>
              <w:spacing w:line="235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F52F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8</w:t>
            </w:r>
          </w:p>
        </w:tc>
      </w:tr>
      <w:tr w:rsidR="00E4271A" w:rsidRPr="007F52F4" w:rsidTr="009D792E">
        <w:tc>
          <w:tcPr>
            <w:tcW w:w="562" w:type="dxa"/>
          </w:tcPr>
          <w:p w:rsidR="00E4271A" w:rsidRPr="007F52F4" w:rsidRDefault="009D792E" w:rsidP="000A6A25">
            <w:pPr>
              <w:spacing w:line="235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F52F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7</w:t>
            </w:r>
          </w:p>
        </w:tc>
        <w:tc>
          <w:tcPr>
            <w:tcW w:w="7655" w:type="dxa"/>
          </w:tcPr>
          <w:p w:rsidR="00E4271A" w:rsidRPr="007F52F4" w:rsidRDefault="009D792E" w:rsidP="009D792E">
            <w:pPr>
              <w:spacing w:line="235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F52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Координація та контроль за ходом виконання програми</w:t>
            </w:r>
          </w:p>
        </w:tc>
        <w:tc>
          <w:tcPr>
            <w:tcW w:w="1411" w:type="dxa"/>
          </w:tcPr>
          <w:p w:rsidR="00E4271A" w:rsidRPr="007F52F4" w:rsidRDefault="00E54730" w:rsidP="000A6A25">
            <w:pPr>
              <w:spacing w:line="235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F52F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</w:t>
            </w:r>
          </w:p>
        </w:tc>
      </w:tr>
    </w:tbl>
    <w:p w:rsidR="00E4271A" w:rsidRPr="007F52F4" w:rsidRDefault="00E4271A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856783" w:rsidRPr="007F52F4" w:rsidRDefault="00856783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9D792E" w:rsidRPr="007F52F4" w:rsidRDefault="009D792E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9D792E" w:rsidRPr="007F52F4" w:rsidRDefault="009D792E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9D792E" w:rsidRPr="007F52F4" w:rsidRDefault="009D792E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9D792E" w:rsidRPr="007F52F4" w:rsidRDefault="009D792E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9D792E" w:rsidRPr="007F52F4" w:rsidRDefault="009D792E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9D792E" w:rsidRPr="007F52F4" w:rsidRDefault="009D792E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9D792E" w:rsidRPr="007F52F4" w:rsidRDefault="009D792E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9D792E" w:rsidRPr="007F52F4" w:rsidRDefault="009D792E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9D792E" w:rsidRPr="007F52F4" w:rsidRDefault="009D792E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9D792E" w:rsidRPr="007F52F4" w:rsidRDefault="009D792E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9D792E" w:rsidRPr="007F52F4" w:rsidRDefault="009D792E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9D792E" w:rsidRPr="007F52F4" w:rsidRDefault="009D792E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9D792E" w:rsidRPr="007F52F4" w:rsidRDefault="009D792E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9D792E" w:rsidRPr="007F52F4" w:rsidRDefault="009D792E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9D792E" w:rsidRPr="007F52F4" w:rsidRDefault="009D792E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9D792E" w:rsidRPr="007F52F4" w:rsidRDefault="009D792E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9D792E" w:rsidRPr="007F52F4" w:rsidRDefault="009D792E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9D792E" w:rsidRPr="007F52F4" w:rsidRDefault="009D792E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9D792E" w:rsidRPr="007F52F4" w:rsidRDefault="009D792E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9D792E" w:rsidRPr="007F52F4" w:rsidRDefault="009D792E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9D792E" w:rsidRPr="007F52F4" w:rsidRDefault="009D792E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9D792E" w:rsidRPr="007F52F4" w:rsidRDefault="009D792E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9D792E" w:rsidRPr="007F52F4" w:rsidRDefault="009D792E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9D792E" w:rsidRPr="007F52F4" w:rsidRDefault="009D792E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9D792E" w:rsidRPr="007F52F4" w:rsidRDefault="009D792E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9D792E" w:rsidRPr="007F52F4" w:rsidRDefault="009D792E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9D792E" w:rsidRDefault="009D792E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636A18" w:rsidRDefault="00636A18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636A18" w:rsidRDefault="00636A18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636A18" w:rsidRPr="007F52F4" w:rsidRDefault="00636A18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9D792E" w:rsidRPr="007F52F4" w:rsidRDefault="009D792E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9D792E" w:rsidRPr="007F52F4" w:rsidRDefault="009D792E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9D792E" w:rsidRPr="007F52F4" w:rsidRDefault="009D792E" w:rsidP="000A6A25">
      <w:pPr>
        <w:spacing w:after="0" w:line="235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BE7E1E" w:rsidRPr="007F52F4" w:rsidRDefault="00BE7E1E" w:rsidP="000A6A25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52F4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I. ПАСПОРТ</w:t>
      </w:r>
      <w:r w:rsidRPr="007F52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13041" w:rsidRPr="007F52F4">
        <w:rPr>
          <w:rFonts w:ascii="Times New Roman" w:hAnsi="Times New Roman" w:cs="Times New Roman"/>
          <w:b/>
          <w:sz w:val="28"/>
          <w:szCs w:val="28"/>
          <w:lang w:val="uk-UA"/>
        </w:rPr>
        <w:t>ПРОГРАМИ</w:t>
      </w:r>
    </w:p>
    <w:p w:rsidR="00A567A2" w:rsidRPr="007F52F4" w:rsidRDefault="00A567A2" w:rsidP="000A6A25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3549"/>
        <w:gridCol w:w="5523"/>
      </w:tblGrid>
      <w:tr w:rsidR="00BE7E1E" w:rsidRPr="00636A18" w:rsidTr="00F5000E">
        <w:trPr>
          <w:trHeight w:val="405"/>
        </w:trPr>
        <w:tc>
          <w:tcPr>
            <w:tcW w:w="6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E1E" w:rsidRPr="007F52F4" w:rsidRDefault="00BE7E1E" w:rsidP="00CD2EA5">
            <w:pPr>
              <w:spacing w:after="0" w:line="235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3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E1E" w:rsidRPr="007F52F4" w:rsidRDefault="00713041" w:rsidP="00CD2EA5">
            <w:pPr>
              <w:spacing w:after="0" w:line="235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5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E1E" w:rsidRPr="007F52F4" w:rsidRDefault="0040318E" w:rsidP="00CD2EA5">
            <w:pPr>
              <w:spacing w:after="0" w:line="235" w:lineRule="auto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uk-UA"/>
              </w:rPr>
            </w:pPr>
            <w:r w:rsidRPr="007F52F4">
              <w:rPr>
                <w:rFonts w:ascii="Times New Roman" w:hAnsi="Times New Roman"/>
                <w:sz w:val="28"/>
                <w:szCs w:val="28"/>
                <w:lang w:val="uk-UA"/>
              </w:rPr>
              <w:t>Херсонська о</w:t>
            </w:r>
            <w:r w:rsidR="00BE7E1E" w:rsidRPr="007F52F4">
              <w:rPr>
                <w:rFonts w:ascii="Times New Roman" w:hAnsi="Times New Roman"/>
                <w:sz w:val="28"/>
                <w:szCs w:val="28"/>
                <w:lang w:val="uk-UA"/>
              </w:rPr>
              <w:t>бласна державна</w:t>
            </w:r>
            <w:r w:rsidR="00B10BB8" w:rsidRPr="007F52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(військова)</w:t>
            </w:r>
            <w:r w:rsidR="00BE7E1E" w:rsidRPr="007F52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адміністрація</w:t>
            </w:r>
            <w:r w:rsidR="00B10BB8" w:rsidRPr="007F52F4">
              <w:rPr>
                <w:rFonts w:ascii="Times New Roman" w:hAnsi="Times New Roman"/>
                <w:sz w:val="28"/>
                <w:szCs w:val="28"/>
                <w:lang w:val="uk-UA"/>
              </w:rPr>
              <w:t>, управління містобудування та архітектури обласної державної адміністрації.</w:t>
            </w:r>
          </w:p>
        </w:tc>
      </w:tr>
      <w:tr w:rsidR="00BE7E1E" w:rsidRPr="007F52F4" w:rsidTr="00F5000E">
        <w:trPr>
          <w:trHeight w:val="1093"/>
        </w:trPr>
        <w:tc>
          <w:tcPr>
            <w:tcW w:w="6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E1E" w:rsidRPr="007F52F4" w:rsidRDefault="00BE7E1E" w:rsidP="00CD2EA5">
            <w:pPr>
              <w:spacing w:after="0" w:line="235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3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E1E" w:rsidRPr="007F52F4" w:rsidRDefault="00BE7E1E" w:rsidP="00CD2EA5">
            <w:pPr>
              <w:spacing w:after="0" w:line="235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Дата, номер і назва розпорядчого документа органу ви</w:t>
            </w:r>
            <w:r w:rsidR="00713041"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конавчої влади про розроблення Програми</w:t>
            </w:r>
          </w:p>
        </w:tc>
        <w:tc>
          <w:tcPr>
            <w:tcW w:w="55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E1E" w:rsidRPr="007F52F4" w:rsidRDefault="00A567A2" w:rsidP="00C06BCC">
            <w:pPr>
              <w:spacing w:after="0" w:line="235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</w:t>
            </w:r>
            <w:r w:rsidR="00BE7E1E"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орученн</w:t>
            </w:r>
            <w:r w:rsidR="00B713CD"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я </w:t>
            </w:r>
            <w:r w:rsidR="00B10BB8"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начальника Херсонської обласної військової адміністрації від </w:t>
            </w:r>
            <w:r w:rsidR="00C06BCC"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="00B10BB8"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08 вересня 2025 року № 61-д</w:t>
            </w:r>
            <w:r w:rsidR="00BE7E1E"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BE7E1E" w:rsidRPr="007F52F4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> </w:t>
            </w:r>
          </w:p>
        </w:tc>
      </w:tr>
      <w:tr w:rsidR="00BE7E1E" w:rsidRPr="007F52F4" w:rsidTr="00F5000E">
        <w:trPr>
          <w:trHeight w:val="486"/>
        </w:trPr>
        <w:tc>
          <w:tcPr>
            <w:tcW w:w="6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E1E" w:rsidRPr="007F52F4" w:rsidRDefault="00BE7E1E" w:rsidP="00CD2EA5">
            <w:pPr>
              <w:spacing w:after="0" w:line="235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3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E1E" w:rsidRPr="007F52F4" w:rsidRDefault="00BE7E1E" w:rsidP="00CD2EA5">
            <w:pPr>
              <w:spacing w:after="0" w:line="235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Розробник </w:t>
            </w:r>
            <w:r w:rsidR="00713041"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5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E1E" w:rsidRPr="007F52F4" w:rsidRDefault="0040318E" w:rsidP="00CD2EA5">
            <w:pPr>
              <w:spacing w:after="0" w:line="235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</w:t>
            </w:r>
            <w:r w:rsidR="00BE7E1E"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правління містобудування та архітектури обласної державної адміністрації</w:t>
            </w:r>
          </w:p>
        </w:tc>
      </w:tr>
      <w:tr w:rsidR="00BE7E1E" w:rsidRPr="00636A18" w:rsidTr="00F5000E">
        <w:trPr>
          <w:trHeight w:val="564"/>
        </w:trPr>
        <w:tc>
          <w:tcPr>
            <w:tcW w:w="6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E1E" w:rsidRPr="007F52F4" w:rsidRDefault="00BE7E1E" w:rsidP="00CD2EA5">
            <w:pPr>
              <w:spacing w:after="0" w:line="235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3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E1E" w:rsidRPr="007F52F4" w:rsidRDefault="00BE7E1E" w:rsidP="00CD2EA5">
            <w:pPr>
              <w:spacing w:after="0" w:line="235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  <w:r w:rsidR="00713041"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5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E1E" w:rsidRPr="007F52F4" w:rsidRDefault="00BE7E1E" w:rsidP="00BD1746">
            <w:pPr>
              <w:spacing w:after="0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uk-UA"/>
              </w:rPr>
            </w:pPr>
            <w:r w:rsidRPr="007F52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Департаменти обласної державної адміністрації: соціального розвитку, розвитку територій, інфраструктури, здоров’я, реалізації гуманітарної політики, з питань цивільного захисту та оборонної роботи, </w:t>
            </w:r>
            <w:r w:rsidR="00713041" w:rsidRPr="007F52F4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7F52F4">
              <w:rPr>
                <w:rFonts w:ascii="Times New Roman" w:hAnsi="Times New Roman"/>
                <w:sz w:val="28"/>
                <w:szCs w:val="28"/>
                <w:lang w:val="uk-UA"/>
              </w:rPr>
              <w:t>правління обласної державної адміністрації: внутрішньої та інформаційної політики, освіти і науки, фізичної культури, молоді та спорту,</w:t>
            </w:r>
            <w:r w:rsidR="007005AD" w:rsidRPr="007F52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справах ветеранів</w:t>
            </w:r>
            <w:r w:rsidR="005630C9" w:rsidRPr="007F52F4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713041" w:rsidRPr="007F52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</w:t>
            </w:r>
            <w:r w:rsidRPr="007F52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лужба у справах дітей обласної державної адміністрації; </w:t>
            </w:r>
            <w:r w:rsidR="007005AD" w:rsidRPr="007F52F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військові адміністрації населених пунктів </w:t>
            </w:r>
            <w:proofErr w:type="spellStart"/>
            <w:r w:rsidR="007005AD" w:rsidRPr="007F52F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>деокупованих</w:t>
            </w:r>
            <w:proofErr w:type="spellEnd"/>
            <w:r w:rsidR="007005AD" w:rsidRPr="007F52F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 територіальних громад Херсонської області</w:t>
            </w:r>
            <w:r w:rsidR="005630C9" w:rsidRPr="007F52F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>,</w:t>
            </w:r>
            <w:r w:rsidR="005630C9" w:rsidRPr="007F52F4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Державний архів Херсонської області.</w:t>
            </w:r>
          </w:p>
        </w:tc>
      </w:tr>
      <w:tr w:rsidR="00BE7E1E" w:rsidRPr="00636A18" w:rsidTr="00F5000E">
        <w:trPr>
          <w:trHeight w:val="713"/>
        </w:trPr>
        <w:tc>
          <w:tcPr>
            <w:tcW w:w="6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E1E" w:rsidRPr="007F52F4" w:rsidRDefault="00BE7E1E" w:rsidP="00CD2EA5">
            <w:pPr>
              <w:spacing w:after="0" w:line="235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3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E1E" w:rsidRPr="007F52F4" w:rsidRDefault="00BE7E1E" w:rsidP="00CD2EA5">
            <w:pPr>
              <w:spacing w:after="0" w:line="235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Відповідальний виконавець </w:t>
            </w:r>
            <w:r w:rsidR="00713041"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Програми</w:t>
            </w:r>
            <w:r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7F52F4">
              <w:rPr>
                <w:rFonts w:ascii="Times New Roman" w:hAnsi="Times New Roman"/>
                <w:sz w:val="28"/>
                <w:szCs w:val="28"/>
                <w:lang w:val="uk-UA"/>
              </w:rPr>
              <w:t>та головний розпорядник коштів</w:t>
            </w:r>
          </w:p>
        </w:tc>
        <w:tc>
          <w:tcPr>
            <w:tcW w:w="55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E1E" w:rsidRPr="007F52F4" w:rsidRDefault="0040318E" w:rsidP="00CD2EA5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52F4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BE7E1E" w:rsidRPr="007F52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правління містобудування та архітектури обласної державної адміністрації  </w:t>
            </w:r>
            <w:r w:rsidR="00713041" w:rsidRPr="007F52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узагальнює інформацію про </w:t>
            </w:r>
            <w:r w:rsidR="00BE7E1E" w:rsidRPr="007F52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виконання </w:t>
            </w:r>
            <w:r w:rsidR="00713041" w:rsidRPr="007F52F4">
              <w:rPr>
                <w:rFonts w:ascii="Times New Roman" w:hAnsi="Times New Roman"/>
                <w:sz w:val="28"/>
                <w:szCs w:val="28"/>
                <w:lang w:val="uk-UA"/>
              </w:rPr>
              <w:t>Програми</w:t>
            </w:r>
            <w:r w:rsidR="00357CF5" w:rsidRPr="007F52F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BE7E1E" w:rsidRPr="007F52F4" w:rsidRDefault="00357CF5" w:rsidP="00CD2EA5">
            <w:pPr>
              <w:spacing w:after="0" w:line="235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52F4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BE7E1E" w:rsidRPr="007F52F4">
              <w:rPr>
                <w:rFonts w:ascii="Times New Roman" w:hAnsi="Times New Roman"/>
                <w:sz w:val="28"/>
                <w:szCs w:val="28"/>
                <w:lang w:val="uk-UA"/>
              </w:rPr>
              <w:t>иконавці та</w:t>
            </w:r>
            <w:r w:rsidR="0040318E" w:rsidRPr="007F52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E7E1E" w:rsidRPr="007F52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головні розпорядники коштів: </w:t>
            </w:r>
          </w:p>
          <w:p w:rsidR="00DD3F59" w:rsidRPr="007F52F4" w:rsidRDefault="005630C9" w:rsidP="00C06BCC">
            <w:pPr>
              <w:spacing w:after="0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7F52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Департаменти обласної державної адміністрації: розвитку територій, інфраструктури, здоров’я, реалізації гуманітарної політики, з питань цивільного захисту та оборонної роботи, управління обласної державної адміністрації: внутрішньої та інформаційної політики, освіти і науки, фізичної культури, молоді та спорту, у справах ветеранів,  обласної державної адміністрації; </w:t>
            </w:r>
            <w:r w:rsidRPr="007F52F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військові адміністрації населених пунктів </w:t>
            </w:r>
            <w:proofErr w:type="spellStart"/>
            <w:r w:rsidRPr="007F52F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lastRenderedPageBreak/>
              <w:t>деокупованих</w:t>
            </w:r>
            <w:proofErr w:type="spellEnd"/>
            <w:r w:rsidRPr="007F52F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 територіальних громад Херсонської області</w:t>
            </w:r>
            <w:r w:rsidR="00C06BCC" w:rsidRPr="007F52F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</w:tr>
      <w:tr w:rsidR="00BE7E1E" w:rsidRPr="00636A18" w:rsidTr="00F5000E">
        <w:trPr>
          <w:trHeight w:val="348"/>
        </w:trPr>
        <w:tc>
          <w:tcPr>
            <w:tcW w:w="6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E1E" w:rsidRPr="007F52F4" w:rsidRDefault="00BE7E1E" w:rsidP="00CD2EA5">
            <w:pPr>
              <w:spacing w:after="0" w:line="235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3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E1E" w:rsidRPr="007F52F4" w:rsidRDefault="00BE7E1E" w:rsidP="00CD2EA5">
            <w:pPr>
              <w:spacing w:after="0" w:line="235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Співвиконавці </w:t>
            </w:r>
            <w:r w:rsidR="00713041"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5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E1E" w:rsidRPr="007F52F4" w:rsidRDefault="00BE7E1E" w:rsidP="00CD2EA5">
            <w:pPr>
              <w:spacing w:after="0" w:line="235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F52F4"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Департаменти обласної державної адміністрації: соціального розвитку, розвитку територій, інфраструктури, здоров’я, реалізації гуманітарної політики, з питань цивільного захисту та оборонної роботи, розвитку економіки</w:t>
            </w:r>
            <w:r w:rsidR="000B6F6A" w:rsidRPr="007F52F4">
              <w:rPr>
                <w:rFonts w:ascii="Times New Roman" w:hAnsi="Times New Roman"/>
                <w:sz w:val="28"/>
                <w:szCs w:val="28"/>
                <w:lang w:val="uk-UA"/>
              </w:rPr>
              <w:t>, фінансів (в частині</w:t>
            </w:r>
            <w:r w:rsidR="000B6F6A" w:rsidRPr="007F52F4">
              <w:rPr>
                <w:sz w:val="28"/>
                <w:szCs w:val="28"/>
                <w:lang w:val="uk-UA"/>
              </w:rPr>
              <w:t xml:space="preserve"> </w:t>
            </w:r>
            <w:r w:rsidR="000B6F6A" w:rsidRPr="007F52F4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фінансування шляхом перерахування міжбюджетних трансфертів відповідним територіальним громадам)</w:t>
            </w:r>
            <w:r w:rsidRPr="007F52F4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  <w:r w:rsidR="00357CF5" w:rsidRPr="007F52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</w:t>
            </w:r>
            <w:r w:rsidRPr="007F52F4">
              <w:rPr>
                <w:rFonts w:ascii="Times New Roman" w:hAnsi="Times New Roman"/>
                <w:sz w:val="28"/>
                <w:szCs w:val="28"/>
                <w:lang w:val="uk-UA"/>
              </w:rPr>
              <w:t>правління обласної державної адміністрації: внутрішньої та інформаційної політики, освіти і науки, фізичної культури, молоді та спорту</w:t>
            </w:r>
            <w:r w:rsidR="00357CF5" w:rsidRPr="007F52F4">
              <w:rPr>
                <w:rFonts w:ascii="Times New Roman" w:hAnsi="Times New Roman"/>
                <w:sz w:val="28"/>
                <w:szCs w:val="28"/>
                <w:lang w:val="uk-UA"/>
              </w:rPr>
              <w:t>; с</w:t>
            </w:r>
            <w:r w:rsidRPr="007F52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лужба у справах дітей обласної державної адміністрації; </w:t>
            </w:r>
            <w:proofErr w:type="spellStart"/>
            <w:r w:rsidR="002644D9" w:rsidRPr="007F52F4">
              <w:rPr>
                <w:rFonts w:ascii="Times New Roman" w:hAnsi="Times New Roman"/>
                <w:sz w:val="28"/>
                <w:szCs w:val="28"/>
                <w:lang w:val="uk-UA"/>
              </w:rPr>
              <w:t>Бериславська</w:t>
            </w:r>
            <w:proofErr w:type="spellEnd"/>
            <w:r w:rsidR="002644D9" w:rsidRPr="007F52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Херсонська районні військові адміністрації; </w:t>
            </w:r>
            <w:r w:rsidR="002644D9" w:rsidRPr="007F52F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військові адміністрації населених пунктів </w:t>
            </w:r>
            <w:proofErr w:type="spellStart"/>
            <w:r w:rsidR="002644D9" w:rsidRPr="007F52F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>деокупованих</w:t>
            </w:r>
            <w:proofErr w:type="spellEnd"/>
            <w:r w:rsidR="002644D9" w:rsidRPr="007F52F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 територіальних громад Херсонської області</w:t>
            </w:r>
            <w:r w:rsidR="00C06BCC" w:rsidRPr="007F52F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</w:tr>
      <w:tr w:rsidR="00BE7E1E" w:rsidRPr="007F52F4" w:rsidTr="00F5000E">
        <w:trPr>
          <w:trHeight w:val="267"/>
        </w:trPr>
        <w:tc>
          <w:tcPr>
            <w:tcW w:w="6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E1E" w:rsidRPr="007F52F4" w:rsidRDefault="00BE7E1E" w:rsidP="00CD2EA5">
            <w:pPr>
              <w:spacing w:after="0" w:line="235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3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E1E" w:rsidRPr="007F52F4" w:rsidRDefault="00BE7E1E" w:rsidP="00CD2EA5">
            <w:pPr>
              <w:spacing w:after="0" w:line="235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Термін реалізації </w:t>
            </w:r>
            <w:r w:rsidR="00713041"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5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E1E" w:rsidRPr="007F52F4" w:rsidRDefault="00BE7E1E" w:rsidP="00CD2EA5">
            <w:pPr>
              <w:spacing w:after="0" w:line="235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202</w:t>
            </w:r>
            <w:r w:rsidR="00F95298"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6-2027</w:t>
            </w:r>
            <w:r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</w:t>
            </w:r>
            <w:r w:rsidR="00F95298"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</w:t>
            </w:r>
            <w:r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</w:t>
            </w:r>
            <w:r w:rsidR="00F95298"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и</w:t>
            </w:r>
            <w:r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:rsidR="00BE7E1E" w:rsidRPr="007F52F4" w:rsidTr="00F5000E">
        <w:trPr>
          <w:trHeight w:val="652"/>
        </w:trPr>
        <w:tc>
          <w:tcPr>
            <w:tcW w:w="6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E1E" w:rsidRPr="007F52F4" w:rsidRDefault="00BE7E1E" w:rsidP="00CD2EA5">
            <w:pPr>
              <w:spacing w:after="0" w:line="235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3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E1E" w:rsidRPr="007F52F4" w:rsidRDefault="00BE7E1E" w:rsidP="00CD2EA5">
            <w:pPr>
              <w:spacing w:after="0" w:line="235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Перелік бюджетів, які беруть участь у виконанні </w:t>
            </w:r>
            <w:r w:rsidR="00713041"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Програми</w:t>
            </w:r>
            <w:r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5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E1E" w:rsidRPr="007F52F4" w:rsidRDefault="00CD2EA5" w:rsidP="00C06BCC">
            <w:pPr>
              <w:spacing w:after="0" w:line="235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</w:t>
            </w:r>
            <w:r w:rsidR="00BE7E1E"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ержавний бюджет, обласний бюджет, бюджети тери</w:t>
            </w:r>
            <w:r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торіальних громад, інші не заборонені законодавством джерела</w:t>
            </w:r>
          </w:p>
        </w:tc>
      </w:tr>
      <w:tr w:rsidR="00BE7E1E" w:rsidRPr="007F52F4" w:rsidTr="00F5000E">
        <w:trPr>
          <w:trHeight w:val="972"/>
        </w:trPr>
        <w:tc>
          <w:tcPr>
            <w:tcW w:w="6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E1E" w:rsidRPr="007F52F4" w:rsidRDefault="00BE7E1E" w:rsidP="00CD2EA5">
            <w:pPr>
              <w:spacing w:after="0" w:line="235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F52F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3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E1E" w:rsidRPr="007F52F4" w:rsidRDefault="004F5A29" w:rsidP="00CD2EA5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F5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забезпечення Програми</w:t>
            </w:r>
            <w:r w:rsidR="00BE7E1E" w:rsidRPr="007F52F4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uk-UA"/>
              </w:rPr>
              <w:t>:</w:t>
            </w:r>
          </w:p>
        </w:tc>
        <w:tc>
          <w:tcPr>
            <w:tcW w:w="55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BCC" w:rsidRPr="007F52F4" w:rsidRDefault="004F5A29" w:rsidP="00C06BCC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F52F4">
              <w:rPr>
                <w:sz w:val="28"/>
                <w:szCs w:val="28"/>
              </w:rPr>
              <w:t xml:space="preserve">Орієнтовний обсяг фінансування заходів Програми на відповідні роки визначається з урахуванням пріоритетності завдань та фінансових можливостей. Фінансування заходів Програми щороку </w:t>
            </w:r>
            <w:proofErr w:type="spellStart"/>
            <w:r w:rsidRPr="007F52F4">
              <w:rPr>
                <w:sz w:val="28"/>
                <w:szCs w:val="28"/>
              </w:rPr>
              <w:t>уточнюється</w:t>
            </w:r>
            <w:proofErr w:type="spellEnd"/>
            <w:r w:rsidRPr="007F52F4">
              <w:rPr>
                <w:sz w:val="28"/>
                <w:szCs w:val="28"/>
              </w:rPr>
              <w:t xml:space="preserve"> при формуванні та затвердженні обласного бюджету  та бюджет</w:t>
            </w:r>
            <w:r w:rsidR="00322DDD" w:rsidRPr="007F52F4">
              <w:rPr>
                <w:sz w:val="28"/>
                <w:szCs w:val="28"/>
              </w:rPr>
              <w:t>і</w:t>
            </w:r>
            <w:r w:rsidRPr="007F52F4">
              <w:rPr>
                <w:sz w:val="28"/>
                <w:szCs w:val="28"/>
              </w:rPr>
              <w:t>в територ</w:t>
            </w:r>
            <w:r w:rsidR="00322DDD" w:rsidRPr="007F52F4">
              <w:rPr>
                <w:sz w:val="28"/>
                <w:szCs w:val="28"/>
              </w:rPr>
              <w:t>і</w:t>
            </w:r>
            <w:r w:rsidRPr="007F52F4">
              <w:rPr>
                <w:sz w:val="28"/>
                <w:szCs w:val="28"/>
              </w:rPr>
              <w:t>альних громад на відповідний рік.</w:t>
            </w:r>
          </w:p>
          <w:p w:rsidR="00BE7E1E" w:rsidRPr="007F52F4" w:rsidRDefault="004F5A29" w:rsidP="00322DD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52F4">
              <w:rPr>
                <w:sz w:val="28"/>
                <w:szCs w:val="28"/>
                <w:lang w:val="uk-UA"/>
              </w:rPr>
              <w:t xml:space="preserve"> </w:t>
            </w:r>
            <w:r w:rsidRPr="007F5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Реалізація заходів Програми здійснюється в межах коштів, передбачених у бюджеті на відповідний рік.</w:t>
            </w:r>
          </w:p>
          <w:p w:rsidR="00C06BCC" w:rsidRPr="007F52F4" w:rsidRDefault="00C06BCC" w:rsidP="00BD17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52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разі потреби протягом  бюджетного року в програму можуть вноситись зміни та доповнення в установленому законодавством порядку.</w:t>
            </w:r>
          </w:p>
        </w:tc>
      </w:tr>
    </w:tbl>
    <w:p w:rsidR="00D70B71" w:rsidRDefault="00D70B71" w:rsidP="00416CF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F5000E" w:rsidRDefault="00F5000E" w:rsidP="00416CF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BD1746" w:rsidRDefault="00BD1746" w:rsidP="00416CF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BD1746" w:rsidRDefault="00BD1746" w:rsidP="00416CF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D70B71" w:rsidRDefault="00BE7E1E" w:rsidP="00636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52F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I</w:t>
      </w:r>
      <w:r w:rsidR="00062BBD" w:rsidRPr="007F52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I. Визначення проблеми, на розв’язання якої спрямована </w:t>
      </w:r>
      <w:r w:rsidR="00CD2EA5" w:rsidRPr="007F52F4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:rsidR="00636A18" w:rsidRPr="007F52F4" w:rsidRDefault="00636A18" w:rsidP="00636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7ECE" w:rsidRPr="006852F8" w:rsidRDefault="00DA7ECE" w:rsidP="00636A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2F8">
        <w:rPr>
          <w:rFonts w:ascii="Times New Roman" w:hAnsi="Times New Roman" w:cs="Times New Roman"/>
          <w:sz w:val="28"/>
          <w:szCs w:val="28"/>
          <w:lang w:val="uk-UA"/>
        </w:rPr>
        <w:t xml:space="preserve">В умовах війни та майбутньої відбудови України питання безбар’єрності набуває особливої ваги. Воно стосується всіх без винятку: людям з інвалідністю, людям старшого віку, вагітним жінкам та мамам з візочками, людям у тимчасовій вразливості, дітям, іноземцям та туристам, ветеранам та </w:t>
      </w:r>
      <w:proofErr w:type="spellStart"/>
      <w:r w:rsidRPr="006852F8">
        <w:rPr>
          <w:rFonts w:ascii="Times New Roman" w:hAnsi="Times New Roman" w:cs="Times New Roman"/>
          <w:sz w:val="28"/>
          <w:szCs w:val="28"/>
          <w:lang w:val="uk-UA"/>
        </w:rPr>
        <w:t>ветеранкам</w:t>
      </w:r>
      <w:proofErr w:type="spellEnd"/>
      <w:r w:rsidRPr="006852F8">
        <w:rPr>
          <w:rFonts w:ascii="Times New Roman" w:hAnsi="Times New Roman" w:cs="Times New Roman"/>
          <w:sz w:val="28"/>
          <w:szCs w:val="28"/>
          <w:lang w:val="uk-UA"/>
        </w:rPr>
        <w:t>, які потребують адаптації в цивільне життя, родинам з дітьми з інвалідністю, внутрішньо переміщеним особам, молоді, що переживаю втрати, психологічні труднощі та стрес.</w:t>
      </w:r>
    </w:p>
    <w:p w:rsidR="00F5000E" w:rsidRPr="006852F8" w:rsidRDefault="00F5000E" w:rsidP="00F500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2F8">
        <w:rPr>
          <w:rFonts w:ascii="Times New Roman" w:hAnsi="Times New Roman" w:cs="Times New Roman"/>
          <w:sz w:val="28"/>
          <w:szCs w:val="28"/>
          <w:lang w:val="uk-UA"/>
        </w:rPr>
        <w:t>Конституція України, зокрема стаття 21, стаття 24 та стаття 33, гарантує кожній людині та громадянину України рівність у їх правах, відсутність будь- яких привілеїв чи обмежень за будь-якими ознаками та свободу її пересування.</w:t>
      </w:r>
    </w:p>
    <w:p w:rsidR="005D006D" w:rsidRPr="006852F8" w:rsidRDefault="005D006D" w:rsidP="005D00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2F8">
        <w:rPr>
          <w:rFonts w:ascii="Times New Roman" w:hAnsi="Times New Roman" w:cs="Times New Roman"/>
          <w:sz w:val="28"/>
          <w:szCs w:val="28"/>
          <w:lang w:val="uk-UA"/>
        </w:rPr>
        <w:t>Реалізація прав людини на рівність, гідність та повноцінну участь у житті суспільства, зокрема закріплено Конвенцією ООН про права осіб з інвалідністю.</w:t>
      </w:r>
    </w:p>
    <w:p w:rsidR="00F5000E" w:rsidRPr="006852F8" w:rsidRDefault="00F5000E" w:rsidP="00F500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2F8">
        <w:rPr>
          <w:rFonts w:ascii="Times New Roman" w:hAnsi="Times New Roman" w:cs="Times New Roman"/>
          <w:sz w:val="28"/>
          <w:szCs w:val="28"/>
          <w:lang w:val="uk-UA"/>
        </w:rPr>
        <w:t xml:space="preserve">Усунення навколишніх бар’єрів </w:t>
      </w:r>
      <w:r w:rsidR="00F21C58" w:rsidRPr="006852F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852F8">
        <w:rPr>
          <w:rFonts w:ascii="Times New Roman" w:hAnsi="Times New Roman" w:cs="Times New Roman"/>
          <w:sz w:val="28"/>
          <w:szCs w:val="28"/>
          <w:lang w:val="uk-UA"/>
        </w:rPr>
        <w:t xml:space="preserve"> це процес, спрямований на створення середовища, в якому всі люди, незалежно від їхніх фізичних, сенсорних, когнітивних чи інших особливостей, можуть повноцінно брати участь у житті суспільства.</w:t>
      </w:r>
    </w:p>
    <w:p w:rsidR="005D006D" w:rsidRPr="006852F8" w:rsidRDefault="005D006D" w:rsidP="005D00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2F8">
        <w:rPr>
          <w:rFonts w:ascii="Times New Roman" w:hAnsi="Times New Roman" w:cs="Times New Roman"/>
          <w:sz w:val="28"/>
          <w:szCs w:val="28"/>
          <w:lang w:val="uk-UA"/>
        </w:rPr>
        <w:t>Зняття бар’єрів перетворює суспільство на більш справедливе, ефективне та стійке, оскільки дозволяє залучити потенціал і таланти всіх його членів.</w:t>
      </w:r>
    </w:p>
    <w:p w:rsidR="00900A45" w:rsidRPr="006852F8" w:rsidRDefault="00F160CF" w:rsidP="00900A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2F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3710C" w:rsidRPr="006852F8">
        <w:rPr>
          <w:rFonts w:ascii="Times New Roman" w:hAnsi="Times New Roman" w:cs="Times New Roman"/>
          <w:sz w:val="28"/>
          <w:szCs w:val="28"/>
          <w:lang w:val="uk-UA"/>
        </w:rPr>
        <w:t xml:space="preserve">Програма створення </w:t>
      </w:r>
      <w:proofErr w:type="spellStart"/>
      <w:r w:rsidR="00E3710C" w:rsidRPr="006852F8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="00E3710C" w:rsidRPr="006852F8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Херсонській області на</w:t>
      </w:r>
      <w:r w:rsidR="00F21C58" w:rsidRPr="006852F8">
        <w:rPr>
          <w:rFonts w:ascii="Times New Roman" w:hAnsi="Times New Roman" w:cs="Times New Roman"/>
          <w:sz w:val="28"/>
          <w:szCs w:val="28"/>
          <w:lang w:val="uk-UA"/>
        </w:rPr>
        <w:br/>
      </w:r>
      <w:r w:rsidR="00E3710C" w:rsidRPr="006852F8">
        <w:rPr>
          <w:rFonts w:ascii="Times New Roman" w:hAnsi="Times New Roman" w:cs="Times New Roman"/>
          <w:sz w:val="28"/>
          <w:szCs w:val="28"/>
          <w:lang w:val="uk-UA"/>
        </w:rPr>
        <w:t xml:space="preserve">2026-2027 роки (далі – Програма) розроблена відповідно до Указу Президента України від 03 грудня 2020 року № 553/2020 «Про забезпечення створення </w:t>
      </w:r>
      <w:proofErr w:type="spellStart"/>
      <w:r w:rsidR="00E3710C" w:rsidRPr="006852F8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="00E3710C" w:rsidRPr="006852F8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Україні», Конвенції ООН про права осіб з інвалідністю, ратифікованої Законом України «Про ратифікацію Конвенції про права осіб з інвалідністю і Факультативного протоколу до неї» (№ 1767-VI від 16 грудня 2009 року), розпорядження Кабінету Міністрів України від 14 квітня 2021 року № 366-р «Про схвалення Національної стратегії із створення </w:t>
      </w:r>
      <w:proofErr w:type="spellStart"/>
      <w:r w:rsidR="00E3710C" w:rsidRPr="006852F8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="00E3710C" w:rsidRPr="006852F8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Україні на період до 2030 року».</w:t>
      </w:r>
    </w:p>
    <w:p w:rsidR="00FB1085" w:rsidRPr="006852F8" w:rsidRDefault="002A222A" w:rsidP="00A63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 w:rsidRPr="006852F8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 w:rsidRPr="006852F8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  <w:t xml:space="preserve">Станом на </w:t>
      </w:r>
      <w:r w:rsidR="00F5000E" w:rsidRPr="006852F8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01 жовтня</w:t>
      </w:r>
      <w:r w:rsidRPr="006852F8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2025 року </w:t>
      </w:r>
      <w:r w:rsidR="00F21C58" w:rsidRPr="006852F8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населення </w:t>
      </w:r>
      <w:proofErr w:type="spellStart"/>
      <w:r w:rsidR="00A632DA" w:rsidRPr="006852F8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деокупованих</w:t>
      </w:r>
      <w:proofErr w:type="spellEnd"/>
      <w:r w:rsidR="00A632DA" w:rsidRPr="006852F8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територіальних громад </w:t>
      </w:r>
      <w:r w:rsidRPr="006852F8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Херсонській області </w:t>
      </w:r>
      <w:r w:rsidR="00F21C58" w:rsidRPr="006852F8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становить</w:t>
      </w:r>
      <w:r w:rsidRPr="006852F8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</w:t>
      </w:r>
      <w:r w:rsidR="00A632DA" w:rsidRPr="006852F8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134771</w:t>
      </w:r>
      <w:r w:rsidR="00F21C58" w:rsidRPr="006852F8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осіб</w:t>
      </w:r>
      <w:r w:rsidR="00FB1085" w:rsidRPr="006852F8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.</w:t>
      </w:r>
    </w:p>
    <w:p w:rsidR="005D2202" w:rsidRPr="00A81512" w:rsidRDefault="005D2202" w:rsidP="00A63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</w:pPr>
    </w:p>
    <w:p w:rsidR="00FB1085" w:rsidRDefault="00FB1085" w:rsidP="00A63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74080" cy="1859280"/>
            <wp:effectExtent l="0" t="0" r="762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B1085" w:rsidRDefault="00FB1085" w:rsidP="00A63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FB1085" w:rsidRDefault="00FB1085" w:rsidP="00A63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A632DA" w:rsidRDefault="0078038B" w:rsidP="00A63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0960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21C58" w:rsidRDefault="00F21C58" w:rsidP="00A63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A4DAA" w:rsidRDefault="001A4DAA" w:rsidP="00322D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 щорічного моніторингу та оцінки ступеня безбар’єрності об’єктів фізичного оточення і послуг для осіб з інвалідністю,  </w:t>
      </w:r>
      <w:r w:rsidR="0049651E"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проведеного у </w:t>
      </w:r>
      <w:r w:rsidR="002644D9" w:rsidRPr="007F52F4">
        <w:rPr>
          <w:rFonts w:ascii="Times New Roman" w:hAnsi="Times New Roman" w:cs="Times New Roman"/>
          <w:sz w:val="28"/>
          <w:szCs w:val="28"/>
          <w:lang w:val="uk-UA"/>
        </w:rPr>
        <w:br/>
      </w:r>
      <w:r w:rsidR="0049651E" w:rsidRPr="007F52F4">
        <w:rPr>
          <w:rFonts w:ascii="Times New Roman" w:hAnsi="Times New Roman" w:cs="Times New Roman"/>
          <w:sz w:val="28"/>
          <w:szCs w:val="28"/>
          <w:lang w:val="uk-UA"/>
        </w:rPr>
        <w:t>2024 році</w:t>
      </w:r>
      <w:r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 на виконання </w:t>
      </w:r>
      <w:r w:rsidR="006B4AB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7F52F4">
        <w:rPr>
          <w:rFonts w:ascii="Times New Roman" w:hAnsi="Times New Roman" w:cs="Times New Roman"/>
          <w:sz w:val="28"/>
          <w:szCs w:val="28"/>
          <w:lang w:val="uk-UA"/>
        </w:rPr>
        <w:t>останови  К</w:t>
      </w:r>
      <w:r w:rsidR="006B4ABD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  від 26 травня 2021 р</w:t>
      </w:r>
      <w:r w:rsidR="006B4ABD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 № 537 «Про затвердження Порядку проведення моніторингу та оцінки ступеня безбар’єрності об’єктів фізичного оточення і послуг для осіб з інвалідністю»</w:t>
      </w:r>
      <w:r w:rsidR="006B4ABD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Pr="007F52F4">
        <w:rPr>
          <w:rFonts w:ascii="Times New Roman" w:hAnsi="Times New Roman" w:cs="Times New Roman"/>
          <w:sz w:val="28"/>
          <w:szCs w:val="28"/>
          <w:lang w:val="uk-UA"/>
        </w:rPr>
        <w:t>,   із  загальної кількість об’єктів  - 1641, було обстежено</w:t>
      </w:r>
      <w:r w:rsidR="002644D9"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- 985, з яких: 9 % - </w:t>
      </w:r>
      <w:proofErr w:type="spellStart"/>
      <w:r w:rsidRPr="007F52F4">
        <w:rPr>
          <w:rFonts w:ascii="Times New Roman" w:hAnsi="Times New Roman" w:cs="Times New Roman"/>
          <w:sz w:val="28"/>
          <w:szCs w:val="28"/>
          <w:lang w:val="uk-UA"/>
        </w:rPr>
        <w:t>безбар’єрні</w:t>
      </w:r>
      <w:proofErr w:type="spellEnd"/>
      <w:r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, 32 % - частково </w:t>
      </w:r>
      <w:proofErr w:type="spellStart"/>
      <w:r w:rsidRPr="007F52F4">
        <w:rPr>
          <w:rFonts w:ascii="Times New Roman" w:hAnsi="Times New Roman" w:cs="Times New Roman"/>
          <w:sz w:val="28"/>
          <w:szCs w:val="28"/>
          <w:lang w:val="uk-UA"/>
        </w:rPr>
        <w:t>безбар’єрні</w:t>
      </w:r>
      <w:proofErr w:type="spellEnd"/>
      <w:r w:rsidRPr="007F52F4">
        <w:rPr>
          <w:rFonts w:ascii="Times New Roman" w:hAnsi="Times New Roman" w:cs="Times New Roman"/>
          <w:sz w:val="28"/>
          <w:szCs w:val="28"/>
          <w:lang w:val="uk-UA"/>
        </w:rPr>
        <w:t>, 59 % - бар’єрні.</w:t>
      </w:r>
    </w:p>
    <w:p w:rsidR="00DA7ECE" w:rsidRPr="00900A45" w:rsidRDefault="00DA7ECE" w:rsidP="00DA7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A45">
        <w:rPr>
          <w:rFonts w:ascii="Times New Roman" w:hAnsi="Times New Roman" w:cs="Times New Roman"/>
          <w:sz w:val="28"/>
          <w:szCs w:val="28"/>
          <w:lang w:val="uk-UA"/>
        </w:rPr>
        <w:t>Ще до повномасштабного вторгнення в Херсонській області існували системні проблеми з доступністю громадських просторів та послуг. Війна та тимчасова окупація лише загострили ці виклики, спричинивши руйнування інфраструктури, демографічні зміни та зростання потреб у соціальній підтримці. Саме тому відбудова має здійснюватися з урахуванням принципів безбар’єрності.</w:t>
      </w:r>
    </w:p>
    <w:p w:rsidR="00DA7ECE" w:rsidRDefault="00DA7ECE" w:rsidP="00DA7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52F4">
        <w:rPr>
          <w:rFonts w:ascii="Times New Roman" w:hAnsi="Times New Roman" w:cs="Times New Roman"/>
          <w:sz w:val="28"/>
          <w:szCs w:val="28"/>
          <w:lang w:val="uk-UA"/>
        </w:rPr>
        <w:t>Крім того, актуальною стала доступність інформації та психосоціальна підтримка населення, яка сприятиме адаптації громадян до нового середовища та підвищенню стійкості суспільства.</w:t>
      </w:r>
    </w:p>
    <w:p w:rsidR="00F24059" w:rsidRPr="007F52F4" w:rsidRDefault="00F24059" w:rsidP="00322D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Отже до проблем, що ускладнюють формування </w:t>
      </w:r>
      <w:proofErr w:type="spellStart"/>
      <w:r w:rsidRPr="007F52F4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середовища та забезпечення рівних можливостей для всіх категорій населення стримують соціальну інтеграцію та знижують якість життя громадян належать:</w:t>
      </w:r>
    </w:p>
    <w:p w:rsidR="00F24059" w:rsidRPr="007F52F4" w:rsidRDefault="00F24059" w:rsidP="00322DDD">
      <w:pPr>
        <w:pStyle w:val="a3"/>
        <w:numPr>
          <w:ilvl w:val="0"/>
          <w:numId w:val="1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52F4">
        <w:rPr>
          <w:rFonts w:ascii="Times New Roman" w:hAnsi="Times New Roman" w:cs="Times New Roman"/>
          <w:sz w:val="28"/>
          <w:szCs w:val="28"/>
          <w:lang w:val="uk-UA"/>
        </w:rPr>
        <w:t>значні руйнування інфраструктури (соціальної, транспортної, медичної, освітньої, адміністративної), спричинені воєнними діями;</w:t>
      </w:r>
    </w:p>
    <w:p w:rsidR="00F24059" w:rsidRPr="007F52F4" w:rsidRDefault="00F24059" w:rsidP="00322DDD">
      <w:pPr>
        <w:pStyle w:val="a3"/>
        <w:numPr>
          <w:ilvl w:val="0"/>
          <w:numId w:val="1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52F4">
        <w:rPr>
          <w:rFonts w:ascii="Times New Roman" w:hAnsi="Times New Roman" w:cs="Times New Roman"/>
          <w:sz w:val="28"/>
          <w:szCs w:val="28"/>
          <w:lang w:val="uk-UA"/>
        </w:rPr>
        <w:t>відсутність або недостатня кількість елементів доступності у громадських просторах і на транспортних маршрутах (понижені бордюри, пандуси, тактильні смуги, адаптовані зупинки, інформаційні таблички зрозумілими форматами);</w:t>
      </w:r>
    </w:p>
    <w:p w:rsidR="00F24059" w:rsidRPr="007F52F4" w:rsidRDefault="00F24059" w:rsidP="00322DDD">
      <w:pPr>
        <w:pStyle w:val="a3"/>
        <w:numPr>
          <w:ilvl w:val="0"/>
          <w:numId w:val="1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F52F4">
        <w:rPr>
          <w:rFonts w:ascii="Times New Roman" w:hAnsi="Times New Roman" w:cs="Times New Roman"/>
          <w:sz w:val="28"/>
          <w:szCs w:val="28"/>
          <w:lang w:val="uk-UA"/>
        </w:rPr>
        <w:lastRenderedPageBreak/>
        <w:t>бар’єрність</w:t>
      </w:r>
      <w:proofErr w:type="spellEnd"/>
      <w:r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 будівель та приміщень, що перешкоджає вільному доступу маломобільних груп населення;</w:t>
      </w:r>
    </w:p>
    <w:p w:rsidR="00F24059" w:rsidRPr="007F52F4" w:rsidRDefault="00F24059" w:rsidP="00322DDD">
      <w:pPr>
        <w:pStyle w:val="a3"/>
        <w:numPr>
          <w:ilvl w:val="0"/>
          <w:numId w:val="1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52F4">
        <w:rPr>
          <w:rFonts w:ascii="Times New Roman" w:hAnsi="Times New Roman" w:cs="Times New Roman"/>
          <w:sz w:val="28"/>
          <w:szCs w:val="28"/>
          <w:lang w:val="uk-UA"/>
        </w:rPr>
        <w:t>обмежений доступ до інформації та цифрових сервісів для осіб із порушеннями зору, слуху чи когнітивними особливостями;</w:t>
      </w:r>
    </w:p>
    <w:p w:rsidR="00F24059" w:rsidRPr="007F52F4" w:rsidRDefault="00F24059" w:rsidP="00322DDD">
      <w:pPr>
        <w:pStyle w:val="a3"/>
        <w:numPr>
          <w:ilvl w:val="0"/>
          <w:numId w:val="1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низький рівень обізнаності органів влади, бізнесу та громадськості щодо стандартів </w:t>
      </w:r>
      <w:proofErr w:type="spellStart"/>
      <w:r w:rsidRPr="007F52F4">
        <w:rPr>
          <w:rFonts w:ascii="Times New Roman" w:hAnsi="Times New Roman" w:cs="Times New Roman"/>
          <w:sz w:val="28"/>
          <w:szCs w:val="28"/>
          <w:lang w:val="uk-UA"/>
        </w:rPr>
        <w:t>інклюзивності</w:t>
      </w:r>
      <w:proofErr w:type="spellEnd"/>
      <w:r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 та принципів безбар’єрності;</w:t>
      </w:r>
    </w:p>
    <w:p w:rsidR="00BA034D" w:rsidRPr="007F52F4" w:rsidRDefault="00BA034D" w:rsidP="00322DDD">
      <w:pPr>
        <w:pStyle w:val="a3"/>
        <w:numPr>
          <w:ilvl w:val="0"/>
          <w:numId w:val="1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52F4">
        <w:rPr>
          <w:rFonts w:ascii="Times New Roman" w:hAnsi="Times New Roman" w:cs="Times New Roman"/>
          <w:sz w:val="28"/>
          <w:szCs w:val="28"/>
          <w:lang w:val="uk-UA"/>
        </w:rPr>
        <w:t>обмежені фінансові та матеріальні ресурси, а також необхідність координації між владою, бізнесом та громадськими організаціями.</w:t>
      </w:r>
    </w:p>
    <w:p w:rsidR="004D0973" w:rsidRPr="007F52F4" w:rsidRDefault="002644D9" w:rsidP="00322D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З метою вирішення вищезазначеного переліку проблем </w:t>
      </w:r>
      <w:r w:rsidR="000A3F25" w:rsidRPr="007F52F4">
        <w:rPr>
          <w:rFonts w:ascii="Times New Roman" w:hAnsi="Times New Roman" w:cs="Times New Roman"/>
          <w:sz w:val="28"/>
          <w:szCs w:val="28"/>
          <w:lang w:val="uk-UA"/>
        </w:rPr>
        <w:t>Програма включає комплекс заходів, орієнтованих на створення сприятливих умов для життя</w:t>
      </w:r>
      <w:r w:rsidR="00BA034D" w:rsidRPr="007F52F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A3F25"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 пересування всіх категорій населення, зокрема </w:t>
      </w:r>
      <w:r w:rsidR="00DA7ECE">
        <w:rPr>
          <w:rFonts w:ascii="Times New Roman" w:hAnsi="Times New Roman" w:cs="Times New Roman"/>
          <w:sz w:val="28"/>
          <w:szCs w:val="28"/>
          <w:lang w:val="uk-UA"/>
        </w:rPr>
        <w:t>людей</w:t>
      </w:r>
      <w:r w:rsidR="000A3F25"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 з інвалідністю, і модернізацію громадських просторів відповідно до стандартів безбар’єрності</w:t>
      </w:r>
      <w:r w:rsidR="00BA034D"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 та спрямована на  мінімізацію негативного впливу інвалідності на життя людини.</w:t>
      </w:r>
    </w:p>
    <w:p w:rsidR="00F24059" w:rsidRPr="007F52F4" w:rsidRDefault="00F24059" w:rsidP="00416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EB5380" w:rsidRDefault="00BE7E1E" w:rsidP="00416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52F4">
        <w:rPr>
          <w:rFonts w:ascii="Times New Roman" w:hAnsi="Times New Roman" w:cs="Times New Roman"/>
          <w:b/>
          <w:sz w:val="28"/>
          <w:szCs w:val="28"/>
          <w:lang w:val="uk-UA"/>
        </w:rPr>
        <w:t>I</w:t>
      </w:r>
      <w:r w:rsidR="00792004" w:rsidRPr="007F52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II. Визначення мети </w:t>
      </w:r>
      <w:r w:rsidR="00713041" w:rsidRPr="007F52F4">
        <w:rPr>
          <w:rFonts w:ascii="Times New Roman" w:hAnsi="Times New Roman" w:cs="Times New Roman"/>
          <w:b/>
          <w:sz w:val="28"/>
          <w:szCs w:val="28"/>
          <w:lang w:val="uk-UA"/>
        </w:rPr>
        <w:t>Програми</w:t>
      </w:r>
    </w:p>
    <w:p w:rsidR="00900A45" w:rsidRPr="007F52F4" w:rsidRDefault="00900A45" w:rsidP="00416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762D" w:rsidRPr="007F52F4" w:rsidRDefault="009B762D" w:rsidP="00322D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У контексті післявоєнного відновлення Херсонської області пріоритетним завданням визначено створення сучасного </w:t>
      </w:r>
      <w:proofErr w:type="spellStart"/>
      <w:r w:rsidRPr="007F52F4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 простору, що поєднує процес відбудови з формуванням інклюзивного та доступного середовища для всіх громадян. </w:t>
      </w:r>
    </w:p>
    <w:p w:rsidR="009B762D" w:rsidRPr="007F52F4" w:rsidRDefault="009B762D" w:rsidP="00322D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Метою Програми є забезпечення рівного доступу </w:t>
      </w:r>
      <w:r w:rsidR="001D09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громадян</w:t>
      </w:r>
      <w:r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 до інфраструктури, послуг і можливостей для розвитку, незалежно від віку, стану здоров’я чи соціального статусу</w:t>
      </w:r>
      <w:r w:rsidR="007F62AA"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 та формування</w:t>
      </w:r>
      <w:r w:rsidR="005C1E89"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7F62AA" w:rsidRPr="007F52F4">
        <w:rPr>
          <w:rFonts w:ascii="Times New Roman" w:hAnsi="Times New Roman" w:cs="Times New Roman"/>
          <w:sz w:val="28"/>
          <w:szCs w:val="28"/>
          <w:lang w:val="uk-UA"/>
        </w:rPr>
        <w:t>нклюзивного середовища, підвищення рівня мобільності та самостійності, створення сприятливих умов для повернення населення та розвитку громад, зміцнення соціальної згуртованості.</w:t>
      </w:r>
    </w:p>
    <w:p w:rsidR="009B762D" w:rsidRPr="007F52F4" w:rsidRDefault="009B762D" w:rsidP="00322D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завданнями є інтеграція принципів безбар’єрності у відбудову пошкоджених та зруйнованих об’єктів, забезпечення доступності транспортної та соціальної інфраструктури, освітніх і медичних закладів, адміністративних послуг, а також створення умов для повноцінної участі </w:t>
      </w:r>
      <w:bookmarkStart w:id="0" w:name="_Hlk212016455"/>
      <w:r w:rsidR="00DA7ECE">
        <w:rPr>
          <w:rFonts w:ascii="Times New Roman" w:hAnsi="Times New Roman" w:cs="Times New Roman"/>
          <w:sz w:val="28"/>
          <w:szCs w:val="28"/>
          <w:lang w:val="uk-UA"/>
        </w:rPr>
        <w:t>людей</w:t>
      </w:r>
      <w:r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 з інвалідністю, маломобільних груп населення, дітей, людей </w:t>
      </w:r>
      <w:r w:rsidR="00DA7ECE">
        <w:rPr>
          <w:rFonts w:ascii="Times New Roman" w:hAnsi="Times New Roman" w:cs="Times New Roman"/>
          <w:sz w:val="28"/>
          <w:szCs w:val="28"/>
          <w:lang w:val="uk-UA"/>
        </w:rPr>
        <w:t>старшого</w:t>
      </w:r>
      <w:r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 віку, </w:t>
      </w:r>
      <w:r w:rsidR="00411F64" w:rsidRPr="007F52F4">
        <w:rPr>
          <w:rFonts w:ascii="Times New Roman" w:hAnsi="Times New Roman" w:cs="Times New Roman"/>
          <w:sz w:val="28"/>
          <w:szCs w:val="28"/>
          <w:lang w:val="uk-UA"/>
        </w:rPr>
        <w:t>батьків із дитячими віз</w:t>
      </w:r>
      <w:r w:rsidR="00411F64">
        <w:rPr>
          <w:rFonts w:ascii="Times New Roman" w:hAnsi="Times New Roman" w:cs="Times New Roman"/>
          <w:sz w:val="28"/>
          <w:szCs w:val="28"/>
          <w:lang w:val="uk-UA"/>
        </w:rPr>
        <w:t>очками</w:t>
      </w:r>
      <w:r w:rsidR="00411F6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ветеранів і </w:t>
      </w:r>
      <w:proofErr w:type="spellStart"/>
      <w:r w:rsidR="00DA7ECE">
        <w:rPr>
          <w:rFonts w:ascii="Times New Roman" w:hAnsi="Times New Roman" w:cs="Times New Roman"/>
          <w:sz w:val="28"/>
          <w:szCs w:val="28"/>
          <w:lang w:val="uk-UA"/>
        </w:rPr>
        <w:t>ветеранок</w:t>
      </w:r>
      <w:proofErr w:type="spellEnd"/>
      <w:r w:rsidR="00DA7EC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F52F4">
        <w:rPr>
          <w:rFonts w:ascii="Times New Roman" w:hAnsi="Times New Roman" w:cs="Times New Roman"/>
          <w:sz w:val="28"/>
          <w:szCs w:val="28"/>
          <w:lang w:val="uk-UA"/>
        </w:rPr>
        <w:t>внутрішньо переміщених осіб</w:t>
      </w:r>
      <w:bookmarkEnd w:id="0"/>
      <w:r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 у суспільному житті</w:t>
      </w:r>
      <w:r w:rsidR="00411F64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E7E1E" w:rsidRPr="00636A18" w:rsidRDefault="00BE7E1E" w:rsidP="00A5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5380" w:rsidRPr="007F52F4" w:rsidRDefault="001F7353" w:rsidP="00416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52F4">
        <w:rPr>
          <w:rFonts w:ascii="Times New Roman" w:hAnsi="Times New Roman" w:cs="Times New Roman"/>
          <w:b/>
          <w:sz w:val="28"/>
          <w:szCs w:val="28"/>
          <w:lang w:val="uk-UA"/>
        </w:rPr>
        <w:t>I</w:t>
      </w:r>
      <w:r w:rsidR="00BE7E1E" w:rsidRPr="007F52F4">
        <w:rPr>
          <w:rFonts w:ascii="Times New Roman" w:hAnsi="Times New Roman" w:cs="Times New Roman"/>
          <w:b/>
          <w:sz w:val="28"/>
          <w:szCs w:val="28"/>
          <w:lang w:val="uk-UA"/>
        </w:rPr>
        <w:t>V</w:t>
      </w:r>
      <w:r w:rsidRPr="007F52F4">
        <w:rPr>
          <w:rFonts w:ascii="Times New Roman" w:hAnsi="Times New Roman" w:cs="Times New Roman"/>
          <w:b/>
          <w:sz w:val="28"/>
          <w:szCs w:val="28"/>
          <w:lang w:val="uk-UA"/>
        </w:rPr>
        <w:t>. Обґрунтування шляхів і засобів розв’язання проблем, обсягів</w:t>
      </w:r>
    </w:p>
    <w:p w:rsidR="00EB5380" w:rsidRPr="007F52F4" w:rsidRDefault="001F7353" w:rsidP="00416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52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джерел фінансування; строки та етапи виконання </w:t>
      </w:r>
      <w:r w:rsidR="00713041" w:rsidRPr="007F52F4">
        <w:rPr>
          <w:rFonts w:ascii="Times New Roman" w:hAnsi="Times New Roman" w:cs="Times New Roman"/>
          <w:b/>
          <w:sz w:val="28"/>
          <w:szCs w:val="28"/>
          <w:lang w:val="uk-UA"/>
        </w:rPr>
        <w:t>Програми</w:t>
      </w:r>
    </w:p>
    <w:p w:rsidR="00017EEC" w:rsidRPr="00636A18" w:rsidRDefault="00017EEC" w:rsidP="00416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2089" w:rsidRPr="007F52F4" w:rsidRDefault="00542089" w:rsidP="00322D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Проблема формування </w:t>
      </w:r>
      <w:proofErr w:type="spellStart"/>
      <w:r w:rsidRPr="007F52F4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середовища в Херсонській області є надзвичайно актуальною з огляду на значні руйнування інфраструктури, спричинені воєнними діями, а також на потребу забезпечення рівних можливостей для всіх категорій населення. Наразі значна частина будівель, транспортних об’єктів та громадських просторів залишається недоступною для </w:t>
      </w:r>
      <w:r w:rsidR="00411F64" w:rsidRPr="00411F6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людей з інвалідністю, маломобільних груп населення, дітей, людей старшого віку, ветеранів і </w:t>
      </w:r>
      <w:proofErr w:type="spellStart"/>
      <w:r w:rsidR="00411F64" w:rsidRPr="00411F64">
        <w:rPr>
          <w:rFonts w:ascii="Times New Roman" w:hAnsi="Times New Roman" w:cs="Times New Roman"/>
          <w:sz w:val="28"/>
          <w:szCs w:val="28"/>
          <w:lang w:val="uk-UA"/>
        </w:rPr>
        <w:t>ветеранок</w:t>
      </w:r>
      <w:proofErr w:type="spellEnd"/>
      <w:r w:rsidR="00411F64" w:rsidRPr="00411F64">
        <w:rPr>
          <w:rFonts w:ascii="Times New Roman" w:hAnsi="Times New Roman" w:cs="Times New Roman"/>
          <w:sz w:val="28"/>
          <w:szCs w:val="28"/>
          <w:lang w:val="uk-UA"/>
        </w:rPr>
        <w:t>, внутрішньо переміщених осіб</w:t>
      </w:r>
      <w:r w:rsidRPr="007F52F4">
        <w:rPr>
          <w:rFonts w:ascii="Times New Roman" w:hAnsi="Times New Roman" w:cs="Times New Roman"/>
          <w:sz w:val="28"/>
          <w:szCs w:val="28"/>
          <w:lang w:val="uk-UA"/>
        </w:rPr>
        <w:t>, батьків із дитячими віз</w:t>
      </w:r>
      <w:r w:rsidR="00411F64">
        <w:rPr>
          <w:rFonts w:ascii="Times New Roman" w:hAnsi="Times New Roman" w:cs="Times New Roman"/>
          <w:sz w:val="28"/>
          <w:szCs w:val="28"/>
          <w:lang w:val="uk-UA"/>
        </w:rPr>
        <w:t>очками тощо</w:t>
      </w:r>
      <w:r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. Відсутність елементів доступності, </w:t>
      </w:r>
      <w:proofErr w:type="spellStart"/>
      <w:r w:rsidRPr="007F52F4">
        <w:rPr>
          <w:rFonts w:ascii="Times New Roman" w:hAnsi="Times New Roman" w:cs="Times New Roman"/>
          <w:sz w:val="28"/>
          <w:szCs w:val="28"/>
          <w:lang w:val="uk-UA"/>
        </w:rPr>
        <w:t>бар’єрність</w:t>
      </w:r>
      <w:proofErr w:type="spellEnd"/>
      <w:r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 архітектурного середовища, а також обмежений доступ до інформаційних та цифрових сервісів значно ускладнюють соціальну інтеграцію та знижують якість життя громадян.</w:t>
      </w:r>
    </w:p>
    <w:p w:rsidR="0054532F" w:rsidRPr="007F52F4" w:rsidRDefault="00542089" w:rsidP="00322D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Водночас післявоєнний етап відновлення регіону створює унікальну можливість для інтеграції сучасних стандартів безбар’єрності у процес відбудови та розвитку територій. Врахування принципів </w:t>
      </w:r>
      <w:proofErr w:type="spellStart"/>
      <w:r w:rsidRPr="007F52F4">
        <w:rPr>
          <w:rFonts w:ascii="Times New Roman" w:hAnsi="Times New Roman" w:cs="Times New Roman"/>
          <w:sz w:val="28"/>
          <w:szCs w:val="28"/>
          <w:lang w:val="uk-UA"/>
        </w:rPr>
        <w:t>інклюзивності</w:t>
      </w:r>
      <w:proofErr w:type="spellEnd"/>
      <w:r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 при проєктуванні нових об’єктів та модернізації наявних дозволить сформувати єдину мережу </w:t>
      </w:r>
      <w:proofErr w:type="spellStart"/>
      <w:r w:rsidRPr="007F52F4">
        <w:rPr>
          <w:rFonts w:ascii="Times New Roman" w:hAnsi="Times New Roman" w:cs="Times New Roman"/>
          <w:sz w:val="28"/>
          <w:szCs w:val="28"/>
          <w:lang w:val="uk-UA"/>
        </w:rPr>
        <w:t>безбар’єрних</w:t>
      </w:r>
      <w:proofErr w:type="spellEnd"/>
      <w:r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 маршрутів, що забезпечать комфортне пересування та доступ до соціальних, медичних, освітніх та адміністративних послуг.</w:t>
      </w:r>
    </w:p>
    <w:p w:rsidR="0054532F" w:rsidRPr="007F52F4" w:rsidRDefault="00542089" w:rsidP="00322D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52F4">
        <w:rPr>
          <w:rFonts w:ascii="Times New Roman" w:hAnsi="Times New Roman" w:cs="Times New Roman"/>
          <w:sz w:val="28"/>
          <w:szCs w:val="28"/>
          <w:lang w:val="uk-UA"/>
        </w:rPr>
        <w:t>Реалізація Програми передбачає комплекс заходів, спрямованих на створення доступного середовища для всіх категорій населення, зокрема маломобільних груп. Основними шляхами розв’язання визначених проблем є:</w:t>
      </w:r>
    </w:p>
    <w:p w:rsidR="00542089" w:rsidRPr="007F52F4" w:rsidRDefault="00542089" w:rsidP="0081565E">
      <w:pPr>
        <w:pStyle w:val="a3"/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52F4">
        <w:rPr>
          <w:rFonts w:ascii="Times New Roman" w:hAnsi="Times New Roman" w:cs="Times New Roman"/>
          <w:sz w:val="28"/>
          <w:szCs w:val="28"/>
          <w:lang w:val="uk-UA"/>
        </w:rPr>
        <w:t>модернізація та адаптація існуючої інфраструктури, включно з будівлями, дорогами, територіями, зупинками та громадськими просторами;</w:t>
      </w:r>
    </w:p>
    <w:p w:rsidR="00542089" w:rsidRPr="007F52F4" w:rsidRDefault="00542089" w:rsidP="0081565E">
      <w:pPr>
        <w:pStyle w:val="a3"/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та облаштування </w:t>
      </w:r>
      <w:proofErr w:type="spellStart"/>
      <w:r w:rsidRPr="007F52F4">
        <w:rPr>
          <w:rFonts w:ascii="Times New Roman" w:hAnsi="Times New Roman" w:cs="Times New Roman"/>
          <w:sz w:val="28"/>
          <w:szCs w:val="28"/>
          <w:lang w:val="uk-UA"/>
        </w:rPr>
        <w:t>безбар’єрних</w:t>
      </w:r>
      <w:proofErr w:type="spellEnd"/>
      <w:r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 маршрутів (понижені бордюри, пандуси, тактильні смуги, безпечні переходи, інформаційні таблички у доступних форматах);</w:t>
      </w:r>
    </w:p>
    <w:p w:rsidR="00542089" w:rsidRPr="007F52F4" w:rsidRDefault="00542089" w:rsidP="0081565E">
      <w:pPr>
        <w:pStyle w:val="a3"/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52F4">
        <w:rPr>
          <w:rFonts w:ascii="Times New Roman" w:hAnsi="Times New Roman" w:cs="Times New Roman"/>
          <w:sz w:val="28"/>
          <w:szCs w:val="28"/>
          <w:lang w:val="uk-UA"/>
        </w:rPr>
        <w:t>інтеграція стандартів доступності у нове будівництво та містобудівну документацію;</w:t>
      </w:r>
    </w:p>
    <w:p w:rsidR="00542089" w:rsidRPr="007F52F4" w:rsidRDefault="00542089" w:rsidP="0081565E">
      <w:pPr>
        <w:pStyle w:val="a3"/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доступності цифрових сервісів та інформаційних ресурсів (адаптовані </w:t>
      </w:r>
      <w:proofErr w:type="spellStart"/>
      <w:r w:rsidRPr="007F52F4">
        <w:rPr>
          <w:rFonts w:ascii="Times New Roman" w:hAnsi="Times New Roman" w:cs="Times New Roman"/>
          <w:sz w:val="28"/>
          <w:szCs w:val="28"/>
          <w:lang w:val="uk-UA"/>
        </w:rPr>
        <w:t>вебсайти</w:t>
      </w:r>
      <w:proofErr w:type="spellEnd"/>
      <w:r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, матеріали великим шрифтом, </w:t>
      </w:r>
      <w:proofErr w:type="spellStart"/>
      <w:r w:rsidRPr="007F52F4">
        <w:rPr>
          <w:rFonts w:ascii="Times New Roman" w:hAnsi="Times New Roman" w:cs="Times New Roman"/>
          <w:sz w:val="28"/>
          <w:szCs w:val="28"/>
          <w:lang w:val="uk-UA"/>
        </w:rPr>
        <w:t>аудіоописи</w:t>
      </w:r>
      <w:proofErr w:type="spellEnd"/>
      <w:r w:rsidRPr="007F52F4">
        <w:rPr>
          <w:rFonts w:ascii="Times New Roman" w:hAnsi="Times New Roman" w:cs="Times New Roman"/>
          <w:sz w:val="28"/>
          <w:szCs w:val="28"/>
          <w:lang w:val="uk-UA"/>
        </w:rPr>
        <w:t>, шрифт Брайля);</w:t>
      </w:r>
    </w:p>
    <w:p w:rsidR="00542089" w:rsidRPr="007F52F4" w:rsidRDefault="00542089" w:rsidP="0081565E">
      <w:pPr>
        <w:pStyle w:val="a3"/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52F4">
        <w:rPr>
          <w:rFonts w:ascii="Times New Roman" w:hAnsi="Times New Roman" w:cs="Times New Roman"/>
          <w:sz w:val="28"/>
          <w:szCs w:val="28"/>
          <w:lang w:val="uk-UA"/>
        </w:rPr>
        <w:t>підвищення обізнаності та професійної підготовки посадових осіб, бізнесу та громадських організацій з питань інклюзії та безбар’єрності;</w:t>
      </w:r>
    </w:p>
    <w:p w:rsidR="00542089" w:rsidRPr="007F52F4" w:rsidRDefault="00542089" w:rsidP="0081565E">
      <w:pPr>
        <w:pStyle w:val="a3"/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52F4">
        <w:rPr>
          <w:rFonts w:ascii="Times New Roman" w:hAnsi="Times New Roman" w:cs="Times New Roman"/>
          <w:sz w:val="28"/>
          <w:szCs w:val="28"/>
          <w:lang w:val="uk-UA"/>
        </w:rPr>
        <w:t>впровадження системи моніторингу та контролю, що забезпечить прозорість використання коштів і результативність заходів.</w:t>
      </w:r>
    </w:p>
    <w:p w:rsidR="00542089" w:rsidRPr="007F52F4" w:rsidRDefault="00542089" w:rsidP="005453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Орієнтовний обсяг фінансування Програми на 2026–2027 роки </w:t>
      </w:r>
      <w:r w:rsidR="007F62AA" w:rsidRPr="007F52F4">
        <w:rPr>
          <w:rFonts w:ascii="Times New Roman" w:hAnsi="Times New Roman" w:cs="Times New Roman"/>
          <w:sz w:val="28"/>
          <w:szCs w:val="28"/>
          <w:lang w:val="uk-UA"/>
        </w:rPr>
        <w:t>Програми визначено в додатку 1</w:t>
      </w:r>
      <w:r w:rsidRPr="007F52F4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 Фінансування передбачає покриття витрат на проєктування, будівельні та ремонтні роботи, закупівлю обладнання, навчальні та інформаційні заходи, а також на створення системи моніторингу та оцінки.</w:t>
      </w:r>
    </w:p>
    <w:p w:rsidR="00542089" w:rsidRDefault="00542089" w:rsidP="007F62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52F4">
        <w:rPr>
          <w:rFonts w:ascii="Times New Roman" w:hAnsi="Times New Roman" w:cs="Times New Roman"/>
          <w:sz w:val="28"/>
          <w:szCs w:val="28"/>
          <w:lang w:val="uk-UA"/>
        </w:rPr>
        <w:t>Фінансування Програми здійснюватиметься за рахунок поєднання бюджетних та позабюджетних ресурсів, а саме:</w:t>
      </w:r>
      <w:r w:rsidR="007F62AA"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коштів </w:t>
      </w:r>
      <w:r w:rsidR="007F62AA"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F52F4">
        <w:rPr>
          <w:rFonts w:ascii="Times New Roman" w:hAnsi="Times New Roman" w:cs="Times New Roman"/>
          <w:sz w:val="28"/>
          <w:szCs w:val="28"/>
          <w:lang w:val="uk-UA"/>
        </w:rPr>
        <w:t>державного</w:t>
      </w:r>
      <w:r w:rsidR="007F62AA"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Pr="007F52F4">
        <w:rPr>
          <w:rFonts w:ascii="Times New Roman" w:hAnsi="Times New Roman" w:cs="Times New Roman"/>
          <w:sz w:val="28"/>
          <w:szCs w:val="28"/>
          <w:lang w:val="uk-UA"/>
        </w:rPr>
        <w:t>обласного</w:t>
      </w:r>
      <w:r w:rsidR="007F62AA"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F52F4">
        <w:rPr>
          <w:rFonts w:ascii="Times New Roman" w:hAnsi="Times New Roman" w:cs="Times New Roman"/>
          <w:sz w:val="28"/>
          <w:szCs w:val="28"/>
          <w:lang w:val="uk-UA"/>
        </w:rPr>
        <w:t>місцевих бюджетів</w:t>
      </w:r>
      <w:r w:rsidR="007F62AA" w:rsidRPr="007F52F4">
        <w:rPr>
          <w:rFonts w:ascii="Times New Roman" w:hAnsi="Times New Roman" w:cs="Times New Roman"/>
          <w:sz w:val="28"/>
          <w:szCs w:val="28"/>
          <w:lang w:val="uk-UA"/>
        </w:rPr>
        <w:t xml:space="preserve"> у межах наявного фінансового ресурсу, а також </w:t>
      </w:r>
      <w:r w:rsidR="0054532F" w:rsidRPr="007F52F4">
        <w:rPr>
          <w:rFonts w:ascii="Times New Roman" w:hAnsi="Times New Roman" w:cs="Times New Roman"/>
          <w:sz w:val="28"/>
          <w:szCs w:val="28"/>
          <w:lang w:val="uk-UA"/>
        </w:rPr>
        <w:t>інших джерел не заборо</w:t>
      </w:r>
      <w:r w:rsidR="007F62AA" w:rsidRPr="007F52F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54532F" w:rsidRPr="007F52F4">
        <w:rPr>
          <w:rFonts w:ascii="Times New Roman" w:hAnsi="Times New Roman" w:cs="Times New Roman"/>
          <w:sz w:val="28"/>
          <w:szCs w:val="28"/>
          <w:lang w:val="uk-UA"/>
        </w:rPr>
        <w:t>ених законодавством України.</w:t>
      </w:r>
    </w:p>
    <w:p w:rsidR="00774C4E" w:rsidRDefault="00774C4E" w:rsidP="00BE7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6A18" w:rsidRDefault="00636A18" w:rsidP="00BE7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43C8" w:rsidRDefault="002F43C8" w:rsidP="00BE7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43C8" w:rsidRDefault="002F43C8" w:rsidP="00BE7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43C8" w:rsidRDefault="002F43C8" w:rsidP="00BE7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6A18" w:rsidRPr="00636A18" w:rsidRDefault="00636A18" w:rsidP="00BE7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5380" w:rsidRDefault="00E03574" w:rsidP="00636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52F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V. Перелік завдань і заходів </w:t>
      </w:r>
      <w:r w:rsidR="00713041" w:rsidRPr="007F52F4">
        <w:rPr>
          <w:rFonts w:ascii="Times New Roman" w:hAnsi="Times New Roman" w:cs="Times New Roman"/>
          <w:b/>
          <w:sz w:val="28"/>
          <w:szCs w:val="28"/>
          <w:lang w:val="uk-UA"/>
        </w:rPr>
        <w:t>Програми</w:t>
      </w:r>
      <w:r w:rsidRPr="007F52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результативні показники</w:t>
      </w:r>
    </w:p>
    <w:p w:rsidR="00636A18" w:rsidRPr="007F52F4" w:rsidRDefault="00636A18" w:rsidP="00636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0C60" w:rsidRPr="002F43C8" w:rsidRDefault="005776E2" w:rsidP="00636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C8">
        <w:rPr>
          <w:rFonts w:ascii="Times New Roman" w:hAnsi="Times New Roman" w:cs="Times New Roman"/>
          <w:sz w:val="28"/>
          <w:szCs w:val="28"/>
          <w:lang w:val="uk-UA"/>
        </w:rPr>
        <w:t>Програмою</w:t>
      </w:r>
      <w:r w:rsidR="00C57446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визнач</w:t>
      </w:r>
      <w:r w:rsidRPr="002F43C8">
        <w:rPr>
          <w:rFonts w:ascii="Times New Roman" w:hAnsi="Times New Roman" w:cs="Times New Roman"/>
          <w:sz w:val="28"/>
          <w:szCs w:val="28"/>
          <w:lang w:val="uk-UA"/>
        </w:rPr>
        <w:t>ено</w:t>
      </w:r>
      <w:r w:rsidR="00C57446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загальні принципи, головні напрями</w:t>
      </w:r>
      <w:r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й основний зміст перспективних </w:t>
      </w:r>
      <w:r w:rsidR="00C57446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заходів щодо створення </w:t>
      </w:r>
      <w:proofErr w:type="spellStart"/>
      <w:r w:rsidR="00C57446" w:rsidRPr="002F43C8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="00C57446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для всіх суспільних груп.</w:t>
      </w:r>
    </w:p>
    <w:p w:rsidR="00FF0E45" w:rsidRPr="002F43C8" w:rsidRDefault="00D75B97" w:rsidP="00636A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У Програмі </w:t>
      </w:r>
      <w:r w:rsidR="00C57446" w:rsidRPr="002F43C8">
        <w:rPr>
          <w:rFonts w:ascii="Times New Roman" w:hAnsi="Times New Roman" w:cs="Times New Roman"/>
          <w:sz w:val="28"/>
          <w:szCs w:val="28"/>
          <w:lang w:val="uk-UA"/>
        </w:rPr>
        <w:t>окресл</w:t>
      </w:r>
      <w:r w:rsidRPr="002F43C8">
        <w:rPr>
          <w:rFonts w:ascii="Times New Roman" w:hAnsi="Times New Roman" w:cs="Times New Roman"/>
          <w:sz w:val="28"/>
          <w:szCs w:val="28"/>
          <w:lang w:val="uk-UA"/>
        </w:rPr>
        <w:t>ено</w:t>
      </w:r>
      <w:r w:rsidR="00C57446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пріоритетні напрями діяльності державних структур та інститутів гром</w:t>
      </w:r>
      <w:r w:rsidRPr="002F43C8">
        <w:rPr>
          <w:rFonts w:ascii="Times New Roman" w:hAnsi="Times New Roman" w:cs="Times New Roman"/>
          <w:sz w:val="28"/>
          <w:szCs w:val="28"/>
          <w:lang w:val="uk-UA"/>
        </w:rPr>
        <w:t>адянського суспільства, визначено</w:t>
      </w:r>
      <w:r w:rsidR="003C3075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орієнтири для всіх причетних до </w:t>
      </w:r>
      <w:r w:rsidR="00C57446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</w:t>
      </w:r>
      <w:proofErr w:type="spellStart"/>
      <w:r w:rsidR="00C57446" w:rsidRPr="002F43C8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="00C57446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області. </w:t>
      </w:r>
    </w:p>
    <w:p w:rsidR="00BE15D9" w:rsidRPr="002F43C8" w:rsidRDefault="0040318E" w:rsidP="00636A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C8"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="00BE15D9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За напрямом </w:t>
      </w:r>
      <w:r w:rsidR="00F03A3E" w:rsidRPr="002F43C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E15D9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Фізична </w:t>
      </w:r>
      <w:proofErr w:type="spellStart"/>
      <w:r w:rsidR="00BE15D9" w:rsidRPr="002F43C8">
        <w:rPr>
          <w:rFonts w:ascii="Times New Roman" w:hAnsi="Times New Roman" w:cs="Times New Roman"/>
          <w:sz w:val="28"/>
          <w:szCs w:val="28"/>
          <w:lang w:val="uk-UA"/>
        </w:rPr>
        <w:t>безбар’єрність</w:t>
      </w:r>
      <w:proofErr w:type="spellEnd"/>
      <w:r w:rsidR="00F03A3E" w:rsidRPr="002F43C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15D9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планується: </w:t>
      </w:r>
    </w:p>
    <w:p w:rsidR="00BE15D9" w:rsidRPr="002F43C8" w:rsidRDefault="00A567A2" w:rsidP="00636A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C8">
        <w:rPr>
          <w:rFonts w:ascii="Times New Roman" w:hAnsi="Times New Roman" w:cs="Times New Roman"/>
          <w:sz w:val="28"/>
          <w:szCs w:val="28"/>
          <w:lang w:val="uk-UA"/>
        </w:rPr>
        <w:t>1) </w:t>
      </w:r>
      <w:r w:rsidR="00BE15D9" w:rsidRPr="002F43C8">
        <w:rPr>
          <w:rFonts w:ascii="Times New Roman" w:hAnsi="Times New Roman" w:cs="Times New Roman"/>
          <w:sz w:val="28"/>
          <w:szCs w:val="28"/>
          <w:lang w:val="uk-UA"/>
        </w:rPr>
        <w:t>забезпечення проведення за участю громадських організацій щорічного моніторингу та оцінки ступеня безбар’єрності об’єктів фізичного оточення і послуг для осіб з інвалідністю та інших маломобільних груп населення з урахуванням гендерного аспекту</w:t>
      </w:r>
      <w:r w:rsidR="00D40B8C" w:rsidRPr="002F43C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E15D9" w:rsidRPr="002F43C8" w:rsidRDefault="00A567A2" w:rsidP="00636A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C8">
        <w:rPr>
          <w:rFonts w:ascii="Times New Roman" w:hAnsi="Times New Roman" w:cs="Times New Roman"/>
          <w:sz w:val="28"/>
          <w:szCs w:val="28"/>
          <w:lang w:val="uk-UA"/>
        </w:rPr>
        <w:t>2) </w:t>
      </w:r>
      <w:r w:rsidR="00BE15D9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доступності осіб з інвалідністю та інших маломобільних груп населення до громадського автотранспорту, вуличної мережі, автовокзалів, облаштування місць паркування на платних стоянках області відповідно до вимог безбар’єрності; </w:t>
      </w:r>
    </w:p>
    <w:p w:rsidR="00322DDD" w:rsidRPr="002F43C8" w:rsidRDefault="00A567A2" w:rsidP="00636A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C8">
        <w:rPr>
          <w:rFonts w:ascii="Times New Roman" w:hAnsi="Times New Roman" w:cs="Times New Roman"/>
          <w:sz w:val="28"/>
          <w:szCs w:val="28"/>
          <w:lang w:val="uk-UA"/>
        </w:rPr>
        <w:t>3) </w:t>
      </w:r>
      <w:r w:rsidR="00322DDD" w:rsidRPr="002F43C8">
        <w:rPr>
          <w:rFonts w:ascii="Times New Roman" w:hAnsi="Times New Roman" w:cs="Times New Roman"/>
          <w:sz w:val="28"/>
          <w:szCs w:val="28"/>
          <w:lang w:val="uk-UA"/>
        </w:rPr>
        <w:t>забезпечення збільшення частки транспортних засобів загального користування, пристосованих для користування осіб з інвалідністю та інших маломобільних груп населення;</w:t>
      </w:r>
    </w:p>
    <w:p w:rsidR="00322DDD" w:rsidRPr="002F43C8" w:rsidRDefault="00322DDD" w:rsidP="00636A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67A2" w:rsidRPr="002F43C8">
        <w:rPr>
          <w:rFonts w:ascii="Times New Roman" w:hAnsi="Times New Roman" w:cs="Times New Roman"/>
          <w:sz w:val="28"/>
          <w:szCs w:val="28"/>
          <w:lang w:val="uk-UA"/>
        </w:rPr>
        <w:t>4) </w:t>
      </w:r>
      <w:r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пристосування головних входів до будівель обласної та районних державних адміністрацій, їх структурних підрозділів, а також до адміністративних будівель територіальних громад для використання особами з інвалідністю;</w:t>
      </w:r>
    </w:p>
    <w:p w:rsidR="00972B7A" w:rsidRPr="002F43C8" w:rsidRDefault="0040318E" w:rsidP="00636A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C8"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="00972B7A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За напрямом </w:t>
      </w:r>
      <w:r w:rsidR="00F03A3E" w:rsidRPr="002F43C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72B7A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Інформаційна </w:t>
      </w:r>
      <w:proofErr w:type="spellStart"/>
      <w:r w:rsidR="00972B7A" w:rsidRPr="002F43C8">
        <w:rPr>
          <w:rFonts w:ascii="Times New Roman" w:hAnsi="Times New Roman" w:cs="Times New Roman"/>
          <w:sz w:val="28"/>
          <w:szCs w:val="28"/>
          <w:lang w:val="uk-UA"/>
        </w:rPr>
        <w:t>безбар’єрність</w:t>
      </w:r>
      <w:proofErr w:type="spellEnd"/>
      <w:r w:rsidR="00F03A3E" w:rsidRPr="002F43C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F0444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передбачається</w:t>
      </w:r>
      <w:r w:rsidR="00972B7A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972B7A" w:rsidRPr="002F43C8" w:rsidRDefault="00A567A2" w:rsidP="00636A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C8">
        <w:rPr>
          <w:rFonts w:ascii="Times New Roman" w:hAnsi="Times New Roman" w:cs="Times New Roman"/>
          <w:sz w:val="28"/>
          <w:szCs w:val="28"/>
          <w:lang w:val="uk-UA"/>
        </w:rPr>
        <w:t>1) </w:t>
      </w:r>
      <w:r w:rsidR="00972B7A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циклів </w:t>
      </w:r>
      <w:proofErr w:type="spellStart"/>
      <w:r w:rsidR="00972B7A" w:rsidRPr="002F43C8">
        <w:rPr>
          <w:rFonts w:ascii="Times New Roman" w:hAnsi="Times New Roman" w:cs="Times New Roman"/>
          <w:sz w:val="28"/>
          <w:szCs w:val="28"/>
          <w:lang w:val="uk-UA"/>
        </w:rPr>
        <w:t>вебінарів</w:t>
      </w:r>
      <w:proofErr w:type="spellEnd"/>
      <w:r w:rsidR="00972B7A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для представників органів виконавчої влади, органів місцевого самоврядування та представників інститутів громадянського суспільства, а також широких </w:t>
      </w:r>
      <w:r w:rsidR="009F0444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верств </w:t>
      </w:r>
      <w:r w:rsidR="00972B7A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населення щодо </w:t>
      </w:r>
      <w:proofErr w:type="spellStart"/>
      <w:r w:rsidR="00972B7A" w:rsidRPr="002F43C8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="00972B7A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з метою залучення громадян до процесу формування політики, їх реального впливу на прийняття рішень на місцевому рівні; </w:t>
      </w:r>
    </w:p>
    <w:p w:rsidR="00D40B8C" w:rsidRPr="002F43C8" w:rsidRDefault="00A567A2" w:rsidP="00636A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C8">
        <w:rPr>
          <w:rFonts w:ascii="Times New Roman" w:hAnsi="Times New Roman" w:cs="Times New Roman"/>
          <w:sz w:val="28"/>
          <w:szCs w:val="28"/>
          <w:lang w:val="uk-UA"/>
        </w:rPr>
        <w:t>2) </w:t>
      </w:r>
      <w:r w:rsidR="007A615D" w:rsidRPr="002F43C8">
        <w:rPr>
          <w:rFonts w:ascii="Times New Roman" w:hAnsi="Times New Roman" w:cs="Times New Roman"/>
          <w:sz w:val="28"/>
          <w:szCs w:val="28"/>
          <w:lang w:val="uk-UA"/>
        </w:rPr>
        <w:t>сприяння підвищенню рівня поінформованості населення, осіб похилого віку, осіб з інвалідністю про захист їх</w:t>
      </w:r>
      <w:r w:rsidR="009F0444" w:rsidRPr="002F43C8">
        <w:rPr>
          <w:rFonts w:ascii="Times New Roman" w:hAnsi="Times New Roman" w:cs="Times New Roman"/>
          <w:sz w:val="28"/>
          <w:szCs w:val="28"/>
          <w:lang w:val="uk-UA"/>
        </w:rPr>
        <w:t>ніх</w:t>
      </w:r>
      <w:r w:rsidR="007A615D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прав та забезпечення відповідними соціальними послугами через засоби масової інформації області та </w:t>
      </w:r>
      <w:proofErr w:type="spellStart"/>
      <w:r w:rsidR="007A615D" w:rsidRPr="002F43C8">
        <w:rPr>
          <w:rFonts w:ascii="Times New Roman" w:hAnsi="Times New Roman" w:cs="Times New Roman"/>
          <w:sz w:val="28"/>
          <w:szCs w:val="28"/>
          <w:lang w:val="uk-UA"/>
        </w:rPr>
        <w:t>вебсайти</w:t>
      </w:r>
      <w:proofErr w:type="spellEnd"/>
      <w:r w:rsidR="007A615D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обласної та районних державних адміністрацій, сільських, селищних та міських рад</w:t>
      </w:r>
      <w:r w:rsidR="009F0444" w:rsidRPr="002F43C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41E8" w:rsidRPr="002F43C8" w:rsidRDefault="00F03A3E" w:rsidP="00636A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C8"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="00BB41E8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За напрямом </w:t>
      </w:r>
      <w:r w:rsidRPr="002F43C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B41E8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Цифрова </w:t>
      </w:r>
      <w:proofErr w:type="spellStart"/>
      <w:r w:rsidR="00BB41E8" w:rsidRPr="002F43C8">
        <w:rPr>
          <w:rFonts w:ascii="Times New Roman" w:hAnsi="Times New Roman" w:cs="Times New Roman"/>
          <w:sz w:val="28"/>
          <w:szCs w:val="28"/>
          <w:lang w:val="uk-UA"/>
        </w:rPr>
        <w:t>безбар’єрність</w:t>
      </w:r>
      <w:proofErr w:type="spellEnd"/>
      <w:r w:rsidRPr="002F43C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B41E8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планується:</w:t>
      </w:r>
    </w:p>
    <w:p w:rsidR="00322DDD" w:rsidRPr="002F43C8" w:rsidRDefault="00A567A2" w:rsidP="00636A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C8">
        <w:rPr>
          <w:rFonts w:ascii="Times New Roman" w:hAnsi="Times New Roman" w:cs="Times New Roman"/>
          <w:sz w:val="28"/>
          <w:szCs w:val="28"/>
          <w:lang w:val="uk-UA"/>
        </w:rPr>
        <w:t>1) </w:t>
      </w:r>
      <w:r w:rsidR="00F63113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</w:t>
      </w:r>
      <w:proofErr w:type="spellStart"/>
      <w:r w:rsidR="00F63113" w:rsidRPr="002F43C8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="00F63113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доступу до цифрових послуг шляхом надання вільного доступу до швидкісного Інтернету у закладах охорони </w:t>
      </w:r>
      <w:r w:rsidR="00F63113" w:rsidRPr="002F43C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здоров’я, освіти, адміністративних будівлях, </w:t>
      </w:r>
      <w:proofErr w:type="spellStart"/>
      <w:r w:rsidR="00F63113" w:rsidRPr="002F43C8">
        <w:rPr>
          <w:rFonts w:ascii="Times New Roman" w:hAnsi="Times New Roman" w:cs="Times New Roman"/>
          <w:sz w:val="28"/>
          <w:szCs w:val="28"/>
          <w:lang w:val="uk-UA"/>
        </w:rPr>
        <w:t>ЦНАПах</w:t>
      </w:r>
      <w:proofErr w:type="spellEnd"/>
      <w:r w:rsidR="00F63113" w:rsidRPr="002F43C8">
        <w:rPr>
          <w:rFonts w:ascii="Times New Roman" w:hAnsi="Times New Roman" w:cs="Times New Roman"/>
          <w:sz w:val="28"/>
          <w:szCs w:val="28"/>
          <w:lang w:val="uk-UA"/>
        </w:rPr>
        <w:t>, бібліотеках та закладах культури</w:t>
      </w:r>
      <w:r w:rsidR="00322DDD" w:rsidRPr="002F43C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63113" w:rsidRPr="002F43C8" w:rsidRDefault="00A567A2" w:rsidP="00636A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C8">
        <w:rPr>
          <w:rFonts w:ascii="Times New Roman" w:hAnsi="Times New Roman" w:cs="Times New Roman"/>
          <w:sz w:val="28"/>
          <w:szCs w:val="28"/>
          <w:lang w:val="uk-UA"/>
        </w:rPr>
        <w:t>2) </w:t>
      </w:r>
      <w:r w:rsidR="000B6F6A" w:rsidRPr="002F43C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63113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роведення </w:t>
      </w:r>
      <w:proofErr w:type="spellStart"/>
      <w:r w:rsidR="00F63113" w:rsidRPr="002F43C8">
        <w:rPr>
          <w:rFonts w:ascii="Times New Roman" w:hAnsi="Times New Roman" w:cs="Times New Roman"/>
          <w:sz w:val="28"/>
          <w:szCs w:val="28"/>
          <w:lang w:val="uk-UA"/>
        </w:rPr>
        <w:t>цифровізації</w:t>
      </w:r>
      <w:proofErr w:type="spellEnd"/>
      <w:r w:rsidR="00F63113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(забезпечення пристроями) бібліотек та закладів освіти сфери культури.</w:t>
      </w:r>
    </w:p>
    <w:p w:rsidR="004C701E" w:rsidRPr="002F43C8" w:rsidRDefault="00ED4F09" w:rsidP="00636A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C8">
        <w:rPr>
          <w:rFonts w:ascii="Times New Roman" w:hAnsi="Times New Roman" w:cs="Times New Roman"/>
          <w:sz w:val="28"/>
          <w:szCs w:val="28"/>
          <w:lang w:val="uk-UA"/>
        </w:rPr>
        <w:t>4. </w:t>
      </w:r>
      <w:r w:rsidR="007E0D72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За напрямом </w:t>
      </w:r>
      <w:r w:rsidR="00F03A3E" w:rsidRPr="002F43C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E0D72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Суспільна та </w:t>
      </w:r>
      <w:r w:rsidR="004C701E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громадянська </w:t>
      </w:r>
      <w:proofErr w:type="spellStart"/>
      <w:r w:rsidR="004C701E" w:rsidRPr="002F43C8">
        <w:rPr>
          <w:rFonts w:ascii="Times New Roman" w:hAnsi="Times New Roman" w:cs="Times New Roman"/>
          <w:sz w:val="28"/>
          <w:szCs w:val="28"/>
          <w:lang w:val="uk-UA"/>
        </w:rPr>
        <w:t>безбар’єрність</w:t>
      </w:r>
      <w:proofErr w:type="spellEnd"/>
      <w:r w:rsidR="00F03A3E" w:rsidRPr="002F43C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C701E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569E" w:rsidRPr="002F43C8">
        <w:rPr>
          <w:rFonts w:ascii="Times New Roman" w:hAnsi="Times New Roman" w:cs="Times New Roman"/>
          <w:sz w:val="28"/>
          <w:szCs w:val="28"/>
          <w:lang w:val="uk-UA"/>
        </w:rPr>
        <w:t>передбачається</w:t>
      </w:r>
      <w:r w:rsidR="004C701E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F63113" w:rsidRPr="002F43C8" w:rsidRDefault="00A567A2" w:rsidP="00636A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C8">
        <w:rPr>
          <w:rFonts w:ascii="Times New Roman" w:hAnsi="Times New Roman" w:cs="Times New Roman"/>
          <w:sz w:val="28"/>
          <w:szCs w:val="28"/>
          <w:lang w:val="uk-UA"/>
        </w:rPr>
        <w:t>1) </w:t>
      </w:r>
      <w:r w:rsidR="00F63113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розвиток культури громадської активності, </w:t>
      </w:r>
      <w:proofErr w:type="spellStart"/>
      <w:r w:rsidR="00F63113" w:rsidRPr="002F43C8">
        <w:rPr>
          <w:rFonts w:ascii="Times New Roman" w:hAnsi="Times New Roman" w:cs="Times New Roman"/>
          <w:sz w:val="28"/>
          <w:szCs w:val="28"/>
          <w:lang w:val="uk-UA"/>
        </w:rPr>
        <w:t>волонтерства</w:t>
      </w:r>
      <w:proofErr w:type="spellEnd"/>
      <w:r w:rsidR="00F63113" w:rsidRPr="002F43C8">
        <w:rPr>
          <w:rFonts w:ascii="Times New Roman" w:hAnsi="Times New Roman" w:cs="Times New Roman"/>
          <w:sz w:val="28"/>
          <w:szCs w:val="28"/>
          <w:lang w:val="uk-UA"/>
        </w:rPr>
        <w:t>, взаємодопомоги та співпраці для покращення умов життя у спільнотах між жителями територіальних громад, впровадження найкращих практик і механізмів залучення осіб з інвалідністю, молоді, осіб старшого віку, батьків з дітьми дошкільного віку до культурного життя та відродження інклюзивних практик бібліотек</w:t>
      </w:r>
      <w:r w:rsidR="00B01B80" w:rsidRPr="002F43C8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F63113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F63113" w:rsidRPr="002F43C8" w:rsidRDefault="00F63113" w:rsidP="00636A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C8">
        <w:rPr>
          <w:rFonts w:ascii="Times New Roman" w:hAnsi="Times New Roman" w:cs="Times New Roman"/>
          <w:sz w:val="28"/>
          <w:szCs w:val="28"/>
          <w:lang w:val="uk-UA"/>
        </w:rPr>
        <w:t>2)</w:t>
      </w:r>
      <w:r w:rsidR="00B01B80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43C8">
        <w:rPr>
          <w:rFonts w:ascii="Times New Roman" w:hAnsi="Times New Roman" w:cs="Times New Roman"/>
          <w:sz w:val="28"/>
          <w:szCs w:val="28"/>
          <w:lang w:val="uk-UA"/>
        </w:rPr>
        <w:t>створення ветеранських просторів у громадах;</w:t>
      </w:r>
    </w:p>
    <w:p w:rsidR="00F63113" w:rsidRPr="002F43C8" w:rsidRDefault="00F63113" w:rsidP="00636A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C8">
        <w:rPr>
          <w:rFonts w:ascii="Times New Roman" w:hAnsi="Times New Roman" w:cs="Times New Roman"/>
          <w:sz w:val="28"/>
          <w:szCs w:val="28"/>
          <w:lang w:val="uk-UA"/>
        </w:rPr>
        <w:t>3)</w:t>
      </w:r>
      <w:r w:rsidR="00B01B80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</w:t>
      </w:r>
      <w:r w:rsidR="00005250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культурно-мистецьких </w:t>
      </w:r>
      <w:r w:rsidRPr="002F43C8">
        <w:rPr>
          <w:rFonts w:ascii="Times New Roman" w:hAnsi="Times New Roman" w:cs="Times New Roman"/>
          <w:sz w:val="28"/>
          <w:szCs w:val="28"/>
          <w:lang w:val="uk-UA"/>
        </w:rPr>
        <w:t>заходів для громадян похилого віку, осіб з інвалідністю, ветеранів та членів їх сімей</w:t>
      </w:r>
      <w:r w:rsidR="00B01B80" w:rsidRPr="002F43C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01B80" w:rsidRPr="002F43C8" w:rsidRDefault="00B01B80" w:rsidP="00636A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C8">
        <w:rPr>
          <w:rFonts w:ascii="Times New Roman" w:hAnsi="Times New Roman" w:cs="Times New Roman"/>
          <w:sz w:val="28"/>
          <w:szCs w:val="28"/>
          <w:lang w:val="uk-UA"/>
        </w:rPr>
        <w:t>4)  проведення фізкультурно–оздоровчих та спортивних заходів серед усіх груп населення.</w:t>
      </w:r>
    </w:p>
    <w:p w:rsidR="00A56AD7" w:rsidRPr="002F43C8" w:rsidRDefault="00ED4F09" w:rsidP="00636A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C8">
        <w:rPr>
          <w:rFonts w:ascii="Times New Roman" w:hAnsi="Times New Roman" w:cs="Times New Roman"/>
          <w:sz w:val="28"/>
          <w:szCs w:val="28"/>
          <w:lang w:val="uk-UA"/>
        </w:rPr>
        <w:t>5. </w:t>
      </w:r>
      <w:r w:rsidR="00A56AD7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За напрямом </w:t>
      </w:r>
      <w:r w:rsidR="00F03A3E" w:rsidRPr="002F43C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56AD7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Освітня </w:t>
      </w:r>
      <w:proofErr w:type="spellStart"/>
      <w:r w:rsidR="00A56AD7" w:rsidRPr="002F43C8">
        <w:rPr>
          <w:rFonts w:ascii="Times New Roman" w:hAnsi="Times New Roman" w:cs="Times New Roman"/>
          <w:sz w:val="28"/>
          <w:szCs w:val="28"/>
          <w:lang w:val="uk-UA"/>
        </w:rPr>
        <w:t>безбар’єрність</w:t>
      </w:r>
      <w:proofErr w:type="spellEnd"/>
      <w:r w:rsidR="00F03A3E" w:rsidRPr="002F43C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56AD7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планується: </w:t>
      </w:r>
    </w:p>
    <w:p w:rsidR="00F66DCA" w:rsidRPr="002F43C8" w:rsidRDefault="00A567A2" w:rsidP="00636A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C8">
        <w:rPr>
          <w:rFonts w:ascii="Times New Roman" w:hAnsi="Times New Roman" w:cs="Times New Roman"/>
          <w:sz w:val="28"/>
          <w:szCs w:val="28"/>
          <w:lang w:val="uk-UA"/>
        </w:rPr>
        <w:t>1) </w:t>
      </w:r>
      <w:r w:rsidR="00B01B80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співпраці фахівців </w:t>
      </w:r>
      <w:proofErr w:type="spellStart"/>
      <w:r w:rsidR="00B01B80" w:rsidRPr="002F43C8"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 w:rsidR="00B01B80" w:rsidRPr="002F43C8">
        <w:rPr>
          <w:rFonts w:ascii="Times New Roman" w:hAnsi="Times New Roman" w:cs="Times New Roman"/>
          <w:sz w:val="28"/>
          <w:szCs w:val="28"/>
          <w:lang w:val="uk-UA"/>
        </w:rPr>
        <w:t>–ресурсних центрів та закладів освіти з питання якісного дистанційного навчання</w:t>
      </w:r>
      <w:r w:rsidR="00F1445C" w:rsidRPr="002F43C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66DCA" w:rsidRPr="002F43C8" w:rsidRDefault="00A567A2" w:rsidP="00636A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C8">
        <w:rPr>
          <w:rFonts w:ascii="Times New Roman" w:hAnsi="Times New Roman" w:cs="Times New Roman"/>
          <w:sz w:val="28"/>
          <w:szCs w:val="28"/>
          <w:lang w:val="uk-UA"/>
        </w:rPr>
        <w:t>2) </w:t>
      </w:r>
      <w:r w:rsidR="000B6F6A" w:rsidRPr="002F43C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01B80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роведення навчальних кампаній та </w:t>
      </w:r>
      <w:proofErr w:type="spellStart"/>
      <w:r w:rsidR="00B01B80" w:rsidRPr="002F43C8">
        <w:rPr>
          <w:rFonts w:ascii="Times New Roman" w:hAnsi="Times New Roman" w:cs="Times New Roman"/>
          <w:sz w:val="28"/>
          <w:szCs w:val="28"/>
          <w:lang w:val="uk-UA"/>
        </w:rPr>
        <w:t>вебінарів</w:t>
      </w:r>
      <w:proofErr w:type="spellEnd"/>
      <w:r w:rsidR="00B01B80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 для фахівців місцевих адміністрацій з питань інклюзії та доступності при проектуванні та будівництві об’єктів соціальної сфери</w:t>
      </w:r>
      <w:r w:rsidR="00F1445C" w:rsidRPr="002F43C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1445C" w:rsidRPr="002F43C8" w:rsidRDefault="00A567A2" w:rsidP="00636A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C8">
        <w:rPr>
          <w:rFonts w:ascii="Times New Roman" w:hAnsi="Times New Roman" w:cs="Times New Roman"/>
          <w:sz w:val="28"/>
          <w:szCs w:val="28"/>
          <w:lang w:val="uk-UA"/>
        </w:rPr>
        <w:t>3) </w:t>
      </w:r>
      <w:r w:rsidR="00B01B80" w:rsidRPr="002F43C8">
        <w:rPr>
          <w:rFonts w:ascii="Times New Roman" w:hAnsi="Times New Roman" w:cs="Times New Roman"/>
          <w:sz w:val="28"/>
          <w:szCs w:val="28"/>
          <w:lang w:val="uk-UA"/>
        </w:rPr>
        <w:t>забезпечення функціонування мережі спеціальних класів відповідно до потреб громади</w:t>
      </w:r>
      <w:r w:rsidR="00F1445C" w:rsidRPr="002F43C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1445C" w:rsidRPr="002F43C8" w:rsidRDefault="00A567A2" w:rsidP="00636A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C8">
        <w:rPr>
          <w:rFonts w:ascii="Times New Roman" w:hAnsi="Times New Roman" w:cs="Times New Roman"/>
          <w:sz w:val="28"/>
          <w:szCs w:val="28"/>
          <w:lang w:val="uk-UA"/>
        </w:rPr>
        <w:t>4) </w:t>
      </w:r>
      <w:r w:rsidR="00B01B80" w:rsidRPr="002F43C8">
        <w:rPr>
          <w:rFonts w:ascii="Times New Roman" w:hAnsi="Times New Roman" w:cs="Times New Roman"/>
          <w:sz w:val="28"/>
          <w:szCs w:val="28"/>
          <w:lang w:val="uk-UA"/>
        </w:rPr>
        <w:t>створення умов для дистанційного навчання учасників освітнього процесу.</w:t>
      </w:r>
    </w:p>
    <w:p w:rsidR="006C3C8E" w:rsidRPr="002F43C8" w:rsidRDefault="00ED4F09" w:rsidP="00636A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C8">
        <w:rPr>
          <w:rFonts w:ascii="Times New Roman" w:hAnsi="Times New Roman" w:cs="Times New Roman"/>
          <w:sz w:val="28"/>
          <w:szCs w:val="28"/>
          <w:lang w:val="uk-UA"/>
        </w:rPr>
        <w:t>6. </w:t>
      </w:r>
      <w:r w:rsidR="006C3C8E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За напрямом </w:t>
      </w:r>
      <w:r w:rsidR="00F03A3E" w:rsidRPr="002F43C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C3C8E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Економічна </w:t>
      </w:r>
      <w:proofErr w:type="spellStart"/>
      <w:r w:rsidR="006C3C8E" w:rsidRPr="002F43C8">
        <w:rPr>
          <w:rFonts w:ascii="Times New Roman" w:hAnsi="Times New Roman" w:cs="Times New Roman"/>
          <w:sz w:val="28"/>
          <w:szCs w:val="28"/>
          <w:lang w:val="uk-UA"/>
        </w:rPr>
        <w:t>безбар’єрність</w:t>
      </w:r>
      <w:proofErr w:type="spellEnd"/>
      <w:r w:rsidR="00F03A3E" w:rsidRPr="002F43C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C3C8E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планується: </w:t>
      </w:r>
    </w:p>
    <w:p w:rsidR="00CB13F7" w:rsidRPr="002F43C8" w:rsidRDefault="00E04216" w:rsidP="00636A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0B6F6A" w:rsidRPr="002F43C8">
        <w:rPr>
          <w:rFonts w:ascii="Times New Roman" w:hAnsi="Times New Roman" w:cs="Times New Roman"/>
          <w:sz w:val="28"/>
          <w:szCs w:val="28"/>
          <w:lang w:val="uk-UA"/>
        </w:rPr>
        <w:t>реалізація заходів, спрямованих на розвиток у молоді компетенцій, необхідних для пошуку роботи, успішного працевлаштування, професійного зростання та розвитку соціального підприємництва </w:t>
      </w:r>
      <w:r w:rsidRPr="002F43C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35EC9" w:rsidRPr="002F43C8" w:rsidRDefault="00E04216" w:rsidP="00636A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C8">
        <w:rPr>
          <w:rFonts w:ascii="Times New Roman" w:hAnsi="Times New Roman" w:cs="Times New Roman"/>
          <w:sz w:val="28"/>
          <w:szCs w:val="28"/>
          <w:lang w:val="uk-UA"/>
        </w:rPr>
        <w:t>2)</w:t>
      </w:r>
      <w:r w:rsidR="006452FB" w:rsidRPr="002F43C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B6F6A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співпраця з обласним центром зайнятості. Інформаційний супровід державних програм розвитку «ветеранського бізнесу/ветеранських ініціатив».                       </w:t>
      </w:r>
    </w:p>
    <w:p w:rsidR="00BE15D9" w:rsidRPr="002F43C8" w:rsidRDefault="00BE15D9" w:rsidP="00636A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C8">
        <w:rPr>
          <w:rFonts w:ascii="Times New Roman" w:hAnsi="Times New Roman" w:cs="Times New Roman"/>
          <w:sz w:val="28"/>
          <w:szCs w:val="28"/>
          <w:lang w:val="uk-UA"/>
        </w:rPr>
        <w:t>Очікуваним</w:t>
      </w:r>
      <w:r w:rsidR="000607A7" w:rsidRPr="002F43C8">
        <w:rPr>
          <w:rFonts w:ascii="Times New Roman" w:hAnsi="Times New Roman" w:cs="Times New Roman"/>
          <w:sz w:val="28"/>
          <w:szCs w:val="28"/>
          <w:lang w:val="uk-UA"/>
        </w:rPr>
        <w:t>и результатами виконання заходів є визначення</w:t>
      </w:r>
      <w:r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та суспільна підтримка стратегічного курсу області у сфері створення </w:t>
      </w:r>
      <w:proofErr w:type="spellStart"/>
      <w:r w:rsidRPr="002F43C8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простору, послідовна реалізація якого дозволить кожному громадянину: </w:t>
      </w:r>
    </w:p>
    <w:p w:rsidR="00BE15D9" w:rsidRPr="002F43C8" w:rsidRDefault="00BE15D9" w:rsidP="00636A18">
      <w:pPr>
        <w:pStyle w:val="a3"/>
        <w:numPr>
          <w:ilvl w:val="0"/>
          <w:numId w:val="17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безперешкодно пересуватися громадським простором та отримувати інформацію у найзручніший спосіб; </w:t>
      </w:r>
    </w:p>
    <w:p w:rsidR="00BE15D9" w:rsidRPr="002F43C8" w:rsidRDefault="00BE15D9" w:rsidP="00636A18">
      <w:pPr>
        <w:pStyle w:val="a3"/>
        <w:numPr>
          <w:ilvl w:val="0"/>
          <w:numId w:val="17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C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отримати спрощений доступ до </w:t>
      </w:r>
      <w:proofErr w:type="spellStart"/>
      <w:r w:rsidRPr="002F43C8">
        <w:rPr>
          <w:rFonts w:ascii="Times New Roman" w:hAnsi="Times New Roman" w:cs="Times New Roman"/>
          <w:sz w:val="28"/>
          <w:szCs w:val="28"/>
          <w:lang w:val="uk-UA"/>
        </w:rPr>
        <w:t>цифровізованих</w:t>
      </w:r>
      <w:proofErr w:type="spellEnd"/>
      <w:r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та аналогових державних і соціальних послуг; </w:t>
      </w:r>
    </w:p>
    <w:p w:rsidR="00735EC9" w:rsidRPr="002F43C8" w:rsidRDefault="000607A7" w:rsidP="00636A18">
      <w:pPr>
        <w:pStyle w:val="a3"/>
        <w:numPr>
          <w:ilvl w:val="0"/>
          <w:numId w:val="17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C8">
        <w:rPr>
          <w:rFonts w:ascii="Times New Roman" w:hAnsi="Times New Roman" w:cs="Times New Roman"/>
          <w:sz w:val="28"/>
          <w:szCs w:val="28"/>
          <w:lang w:val="uk-UA"/>
        </w:rPr>
        <w:t>отримати рівні умови участі в у</w:t>
      </w:r>
      <w:r w:rsidR="00BE15D9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сіх сферах життя суспільства; </w:t>
      </w:r>
    </w:p>
    <w:p w:rsidR="00BE15D9" w:rsidRPr="002F43C8" w:rsidRDefault="00BE15D9" w:rsidP="00636A18">
      <w:pPr>
        <w:pStyle w:val="a3"/>
        <w:numPr>
          <w:ilvl w:val="0"/>
          <w:numId w:val="17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C8">
        <w:rPr>
          <w:rFonts w:ascii="Times New Roman" w:hAnsi="Times New Roman" w:cs="Times New Roman"/>
          <w:sz w:val="28"/>
          <w:szCs w:val="28"/>
          <w:lang w:val="uk-UA"/>
        </w:rPr>
        <w:t>брати участь у політичних процесах та громадській діяльності;</w:t>
      </w:r>
    </w:p>
    <w:p w:rsidR="00BE15D9" w:rsidRPr="002F43C8" w:rsidRDefault="00BE15D9" w:rsidP="00636A18">
      <w:pPr>
        <w:pStyle w:val="a3"/>
        <w:numPr>
          <w:ilvl w:val="0"/>
          <w:numId w:val="17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отримати рівні можливості та вільний доступ до освіти; </w:t>
      </w:r>
    </w:p>
    <w:p w:rsidR="0099790E" w:rsidRPr="002F43C8" w:rsidRDefault="00BE15D9" w:rsidP="00636A18">
      <w:pPr>
        <w:pStyle w:val="a3"/>
        <w:numPr>
          <w:ilvl w:val="0"/>
          <w:numId w:val="17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отримати умови та можливості для працевлаштування, а також заняття підприємництвом. </w:t>
      </w:r>
    </w:p>
    <w:p w:rsidR="00B00EA9" w:rsidRPr="002F43C8" w:rsidRDefault="00B00EA9" w:rsidP="00636A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7460" w:rsidRPr="002F43C8" w:rsidRDefault="00FF0E45" w:rsidP="00416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43C8">
        <w:rPr>
          <w:rFonts w:ascii="Times New Roman" w:hAnsi="Times New Roman" w:cs="Times New Roman"/>
          <w:b/>
          <w:sz w:val="28"/>
          <w:szCs w:val="28"/>
          <w:lang w:val="uk-UA"/>
        </w:rPr>
        <w:t>V</w:t>
      </w:r>
      <w:r w:rsidR="00BE7E1E" w:rsidRPr="002F43C8">
        <w:rPr>
          <w:rFonts w:ascii="Times New Roman" w:hAnsi="Times New Roman" w:cs="Times New Roman"/>
          <w:b/>
          <w:sz w:val="28"/>
          <w:szCs w:val="28"/>
          <w:lang w:val="uk-UA"/>
        </w:rPr>
        <w:t>I</w:t>
      </w:r>
      <w:r w:rsidRPr="002F43C8">
        <w:rPr>
          <w:rFonts w:ascii="Times New Roman" w:hAnsi="Times New Roman" w:cs="Times New Roman"/>
          <w:b/>
          <w:sz w:val="28"/>
          <w:szCs w:val="28"/>
          <w:lang w:val="uk-UA"/>
        </w:rPr>
        <w:t>. Напрям</w:t>
      </w:r>
      <w:r w:rsidR="006770AB" w:rsidRPr="002F43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 діяльності та заходи </w:t>
      </w:r>
      <w:r w:rsidR="00713041" w:rsidRPr="002F43C8">
        <w:rPr>
          <w:rFonts w:ascii="Times New Roman" w:hAnsi="Times New Roman" w:cs="Times New Roman"/>
          <w:b/>
          <w:sz w:val="28"/>
          <w:szCs w:val="28"/>
          <w:lang w:val="uk-UA"/>
        </w:rPr>
        <w:t>Програми</w:t>
      </w:r>
    </w:p>
    <w:p w:rsidR="006452FB" w:rsidRPr="002F43C8" w:rsidRDefault="006452FB" w:rsidP="00416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0E45" w:rsidRPr="002F43C8" w:rsidRDefault="00FF0E45" w:rsidP="00416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Напрями діяльності та заходи </w:t>
      </w:r>
      <w:r w:rsidR="00713041" w:rsidRPr="002F43C8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викладено в додатку 2.</w:t>
      </w:r>
    </w:p>
    <w:p w:rsidR="00EF0A68" w:rsidRPr="002F43C8" w:rsidRDefault="00EF0A68" w:rsidP="00416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0E45" w:rsidRPr="002F43C8" w:rsidRDefault="00FF0E45" w:rsidP="00060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43C8">
        <w:rPr>
          <w:rFonts w:ascii="Times New Roman" w:hAnsi="Times New Roman" w:cs="Times New Roman"/>
          <w:b/>
          <w:sz w:val="28"/>
          <w:szCs w:val="28"/>
          <w:lang w:val="uk-UA"/>
        </w:rPr>
        <w:t>V</w:t>
      </w:r>
      <w:r w:rsidR="00BE7E1E" w:rsidRPr="002F43C8">
        <w:rPr>
          <w:rFonts w:ascii="Times New Roman" w:hAnsi="Times New Roman" w:cs="Times New Roman"/>
          <w:b/>
          <w:sz w:val="28"/>
          <w:szCs w:val="28"/>
          <w:lang w:val="uk-UA"/>
        </w:rPr>
        <w:t>I</w:t>
      </w:r>
      <w:r w:rsidRPr="002F43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І. Координація та контроль за ходом виконання </w:t>
      </w:r>
      <w:r w:rsidR="00713041" w:rsidRPr="002F43C8">
        <w:rPr>
          <w:rFonts w:ascii="Times New Roman" w:hAnsi="Times New Roman" w:cs="Times New Roman"/>
          <w:b/>
          <w:sz w:val="28"/>
          <w:szCs w:val="28"/>
          <w:lang w:val="uk-UA"/>
        </w:rPr>
        <w:t>Програми</w:t>
      </w:r>
    </w:p>
    <w:p w:rsidR="006452FB" w:rsidRPr="002F43C8" w:rsidRDefault="006452FB" w:rsidP="00416CF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52FB" w:rsidRPr="002F43C8" w:rsidRDefault="00FF0E45" w:rsidP="00636A1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C8">
        <w:rPr>
          <w:lang w:val="uk-UA"/>
        </w:rPr>
        <w:tab/>
      </w:r>
      <w:r w:rsidR="00A67460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дій </w:t>
      </w:r>
      <w:r w:rsidR="00586DFF" w:rsidRPr="002F43C8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A67460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заходів </w:t>
      </w:r>
      <w:r w:rsidR="00713041" w:rsidRPr="002F43C8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 w:rsidR="00A67460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здійснює управління містобудування та архітектури Херсонської об</w:t>
      </w:r>
      <w:r w:rsidR="006770AB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ласної державної </w:t>
      </w:r>
      <w:r w:rsidR="006452FB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адміністрації. </w:t>
      </w:r>
    </w:p>
    <w:p w:rsidR="00586DFF" w:rsidRPr="002F43C8" w:rsidRDefault="006770AB" w:rsidP="00636A1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C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6DFF" w:rsidRPr="002F43C8">
        <w:rPr>
          <w:rFonts w:ascii="Times New Roman" w:hAnsi="Times New Roman" w:cs="Times New Roman"/>
          <w:sz w:val="28"/>
          <w:szCs w:val="28"/>
          <w:lang w:val="uk-UA"/>
        </w:rPr>
        <w:t>Співв</w:t>
      </w:r>
      <w:r w:rsidR="002310BE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иконавці </w:t>
      </w:r>
      <w:r w:rsidR="00713041" w:rsidRPr="002F43C8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 w:rsidR="00586DFF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C12381" w:rsidRPr="002F43C8">
        <w:rPr>
          <w:rFonts w:ascii="Times New Roman" w:hAnsi="Times New Roman" w:cs="Times New Roman"/>
          <w:sz w:val="28"/>
          <w:szCs w:val="28"/>
          <w:lang w:val="uk-UA"/>
        </w:rPr>
        <w:t>20 січня 2027  року  та 20 лютого 2028 року</w:t>
      </w:r>
      <w:r w:rsidR="00586DFF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6DFF" w:rsidRPr="002F43C8">
        <w:rPr>
          <w:rFonts w:ascii="Times New Roman" w:hAnsi="Times New Roman" w:cs="Times New Roman"/>
          <w:sz w:val="28"/>
          <w:szCs w:val="28"/>
          <w:lang w:val="uk-UA"/>
        </w:rPr>
        <w:t>року</w:t>
      </w:r>
      <w:proofErr w:type="spellEnd"/>
      <w:r w:rsidR="00586DFF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надають управлінню містобудування та архітектури обласної державної адміністрації інформацію про реалізацію заходів Програми.</w:t>
      </w:r>
    </w:p>
    <w:p w:rsidR="006770AB" w:rsidRPr="002F43C8" w:rsidRDefault="00435C18" w:rsidP="00636A1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3C8">
        <w:rPr>
          <w:rFonts w:ascii="Times New Roman" w:hAnsi="Times New Roman" w:cs="Times New Roman"/>
          <w:sz w:val="28"/>
          <w:szCs w:val="28"/>
          <w:lang w:val="uk-UA"/>
        </w:rPr>
        <w:tab/>
        <w:t>Управління містобудування та архітектури обласної державної адміністрації до 01 лютого 202</w:t>
      </w:r>
      <w:r w:rsidR="007F62AA" w:rsidRPr="002F43C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586DFF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62AA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C61A6D" w:rsidRPr="002F43C8">
        <w:rPr>
          <w:rFonts w:ascii="Times New Roman" w:hAnsi="Times New Roman" w:cs="Times New Roman"/>
          <w:sz w:val="28"/>
          <w:szCs w:val="28"/>
          <w:lang w:val="uk-UA"/>
        </w:rPr>
        <w:t>01 лютого 2028</w:t>
      </w:r>
      <w:r w:rsidR="007F52F4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C61A6D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готує та </w:t>
      </w:r>
      <w:r w:rsidR="00586DFF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подає узагальнений звіт про </w:t>
      </w:r>
      <w:r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r w:rsidR="00713041" w:rsidRPr="002F43C8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 w:rsidR="004859F5" w:rsidRPr="002F43C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13FE1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310BE" w:rsidRPr="002F43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567A2" w:rsidRPr="002F43C8" w:rsidRDefault="00A567A2" w:rsidP="00636A1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52FB" w:rsidRPr="007F52F4" w:rsidRDefault="006452FB" w:rsidP="00416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1947" w:rsidRDefault="00C61A6D" w:rsidP="00C61A6D">
      <w:p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GoBack"/>
      <w:r w:rsidRPr="007F5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управління </w:t>
      </w:r>
    </w:p>
    <w:p w:rsidR="008A1947" w:rsidRDefault="008A1947" w:rsidP="00C61A6D">
      <w:p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містобудування та архітектури Херсонської </w:t>
      </w:r>
    </w:p>
    <w:p w:rsidR="00C61A6D" w:rsidRPr="007F52F4" w:rsidRDefault="008A1947" w:rsidP="00C61A6D">
      <w:p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обласної державної адміністрації </w:t>
      </w:r>
      <w:r w:rsidR="00C61A6D" w:rsidRPr="007F5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</w:p>
    <w:p w:rsidR="00C61A6D" w:rsidRPr="007F52F4" w:rsidRDefault="00C61A6D" w:rsidP="00C61A6D">
      <w:p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5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просторового </w:t>
      </w:r>
    </w:p>
    <w:p w:rsidR="00C61A6D" w:rsidRPr="007F52F4" w:rsidRDefault="00C61A6D" w:rsidP="00C61A6D">
      <w:p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5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планування територій та </w:t>
      </w:r>
    </w:p>
    <w:p w:rsidR="00C61A6D" w:rsidRPr="007F52F4" w:rsidRDefault="00C61A6D" w:rsidP="00C61A6D">
      <w:p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F5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містобудівного кадастру                                                                 Наталія ЧЕРНИШЕВА</w:t>
      </w:r>
    </w:p>
    <w:p w:rsidR="00C61A6D" w:rsidRPr="007F52F4" w:rsidRDefault="00C61A6D" w:rsidP="00C61A6D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C61A6D" w:rsidRPr="007F52F4" w:rsidRDefault="00C61A6D" w:rsidP="00C61A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bookmarkEnd w:id="1"/>
    <w:p w:rsidR="00A567A2" w:rsidRPr="007F52F4" w:rsidRDefault="00A567A2" w:rsidP="00C61A6D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sectPr w:rsidR="00A567A2" w:rsidRPr="007F52F4" w:rsidSect="00A567A2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61474" w:rsidRDefault="00761474" w:rsidP="00A67460">
      <w:pPr>
        <w:spacing w:after="0" w:line="240" w:lineRule="auto"/>
      </w:pPr>
      <w:r>
        <w:separator/>
      </w:r>
    </w:p>
  </w:endnote>
  <w:endnote w:type="continuationSeparator" w:id="0">
    <w:p w:rsidR="00761474" w:rsidRDefault="00761474" w:rsidP="00A67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61474" w:rsidRDefault="00761474" w:rsidP="00A67460">
      <w:pPr>
        <w:spacing w:after="0" w:line="240" w:lineRule="auto"/>
      </w:pPr>
      <w:r>
        <w:separator/>
      </w:r>
    </w:p>
  </w:footnote>
  <w:footnote w:type="continuationSeparator" w:id="0">
    <w:p w:rsidR="00761474" w:rsidRDefault="00761474" w:rsidP="00A67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50625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67460" w:rsidRPr="00A567A2" w:rsidRDefault="00A6746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567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67A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567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7225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A567A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67460" w:rsidRDefault="00A6746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339A4"/>
    <w:multiLevelType w:val="hybridMultilevel"/>
    <w:tmpl w:val="064E4860"/>
    <w:lvl w:ilvl="0" w:tplc="862EF7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CD7EAC"/>
    <w:multiLevelType w:val="hybridMultilevel"/>
    <w:tmpl w:val="DB06F24E"/>
    <w:lvl w:ilvl="0" w:tplc="862EF7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01530F"/>
    <w:multiLevelType w:val="hybridMultilevel"/>
    <w:tmpl w:val="6EA06322"/>
    <w:lvl w:ilvl="0" w:tplc="862EF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7205B"/>
    <w:multiLevelType w:val="hybridMultilevel"/>
    <w:tmpl w:val="F3BAB806"/>
    <w:lvl w:ilvl="0" w:tplc="862EF7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8C022E8"/>
    <w:multiLevelType w:val="hybridMultilevel"/>
    <w:tmpl w:val="AB5A1026"/>
    <w:lvl w:ilvl="0" w:tplc="862EF7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E36349"/>
    <w:multiLevelType w:val="multilevel"/>
    <w:tmpl w:val="62DE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8B1E50"/>
    <w:multiLevelType w:val="hybridMultilevel"/>
    <w:tmpl w:val="201A00D8"/>
    <w:lvl w:ilvl="0" w:tplc="862EF7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DA95C3D"/>
    <w:multiLevelType w:val="hybridMultilevel"/>
    <w:tmpl w:val="AA003BF6"/>
    <w:lvl w:ilvl="0" w:tplc="862EF7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F994574"/>
    <w:multiLevelType w:val="hybridMultilevel"/>
    <w:tmpl w:val="4DECE290"/>
    <w:lvl w:ilvl="0" w:tplc="9232EB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59B2AE0"/>
    <w:multiLevelType w:val="hybridMultilevel"/>
    <w:tmpl w:val="12941C0A"/>
    <w:lvl w:ilvl="0" w:tplc="862EF7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7FB6740"/>
    <w:multiLevelType w:val="hybridMultilevel"/>
    <w:tmpl w:val="8A7C2D60"/>
    <w:lvl w:ilvl="0" w:tplc="862EF7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0414C04"/>
    <w:multiLevelType w:val="hybridMultilevel"/>
    <w:tmpl w:val="D4148858"/>
    <w:lvl w:ilvl="0" w:tplc="862EF7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E083F66"/>
    <w:multiLevelType w:val="hybridMultilevel"/>
    <w:tmpl w:val="3B48A72A"/>
    <w:lvl w:ilvl="0" w:tplc="621676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4974073"/>
    <w:multiLevelType w:val="hybridMultilevel"/>
    <w:tmpl w:val="6302D754"/>
    <w:lvl w:ilvl="0" w:tplc="862EF7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CF0117B"/>
    <w:multiLevelType w:val="hybridMultilevel"/>
    <w:tmpl w:val="8E248EC6"/>
    <w:lvl w:ilvl="0" w:tplc="862EF7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D0F0798"/>
    <w:multiLevelType w:val="hybridMultilevel"/>
    <w:tmpl w:val="DF36A3CA"/>
    <w:lvl w:ilvl="0" w:tplc="862EF7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E7E73EC"/>
    <w:multiLevelType w:val="hybridMultilevel"/>
    <w:tmpl w:val="D7C057A0"/>
    <w:lvl w:ilvl="0" w:tplc="862EF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3"/>
  </w:num>
  <w:num w:numId="5">
    <w:abstractNumId w:val="9"/>
  </w:num>
  <w:num w:numId="6">
    <w:abstractNumId w:val="13"/>
  </w:num>
  <w:num w:numId="7">
    <w:abstractNumId w:val="6"/>
  </w:num>
  <w:num w:numId="8">
    <w:abstractNumId w:val="11"/>
  </w:num>
  <w:num w:numId="9">
    <w:abstractNumId w:val="15"/>
  </w:num>
  <w:num w:numId="10">
    <w:abstractNumId w:val="12"/>
  </w:num>
  <w:num w:numId="11">
    <w:abstractNumId w:val="2"/>
  </w:num>
  <w:num w:numId="12">
    <w:abstractNumId w:val="16"/>
  </w:num>
  <w:num w:numId="13">
    <w:abstractNumId w:val="1"/>
  </w:num>
  <w:num w:numId="14">
    <w:abstractNumId w:val="7"/>
  </w:num>
  <w:num w:numId="15">
    <w:abstractNumId w:val="0"/>
  </w:num>
  <w:num w:numId="16">
    <w:abstractNumId w:val="5"/>
  </w:num>
  <w:num w:numId="17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C7E"/>
    <w:rsid w:val="00005250"/>
    <w:rsid w:val="00005314"/>
    <w:rsid w:val="000137C5"/>
    <w:rsid w:val="00013FE1"/>
    <w:rsid w:val="00017EEC"/>
    <w:rsid w:val="00027900"/>
    <w:rsid w:val="00042537"/>
    <w:rsid w:val="000603DF"/>
    <w:rsid w:val="000607A7"/>
    <w:rsid w:val="00062BBD"/>
    <w:rsid w:val="000636A0"/>
    <w:rsid w:val="0007299B"/>
    <w:rsid w:val="000735DC"/>
    <w:rsid w:val="00096F00"/>
    <w:rsid w:val="000A3F25"/>
    <w:rsid w:val="000A6A25"/>
    <w:rsid w:val="000B5BDC"/>
    <w:rsid w:val="000B6F6A"/>
    <w:rsid w:val="000E226C"/>
    <w:rsid w:val="000F7AD2"/>
    <w:rsid w:val="00105A43"/>
    <w:rsid w:val="001174AE"/>
    <w:rsid w:val="001229CA"/>
    <w:rsid w:val="00123E4F"/>
    <w:rsid w:val="00126CEC"/>
    <w:rsid w:val="00134707"/>
    <w:rsid w:val="00134A54"/>
    <w:rsid w:val="00134EE5"/>
    <w:rsid w:val="001406F0"/>
    <w:rsid w:val="00152EF8"/>
    <w:rsid w:val="00154215"/>
    <w:rsid w:val="00183792"/>
    <w:rsid w:val="0019569E"/>
    <w:rsid w:val="001A4DAA"/>
    <w:rsid w:val="001B70DB"/>
    <w:rsid w:val="001C5682"/>
    <w:rsid w:val="001D097E"/>
    <w:rsid w:val="001D2747"/>
    <w:rsid w:val="001E0AEC"/>
    <w:rsid w:val="001F7353"/>
    <w:rsid w:val="002261EB"/>
    <w:rsid w:val="002310BE"/>
    <w:rsid w:val="0023747E"/>
    <w:rsid w:val="00250A3F"/>
    <w:rsid w:val="002644D9"/>
    <w:rsid w:val="00266803"/>
    <w:rsid w:val="0027605E"/>
    <w:rsid w:val="002825BE"/>
    <w:rsid w:val="00286781"/>
    <w:rsid w:val="002A222A"/>
    <w:rsid w:val="002A3CBA"/>
    <w:rsid w:val="002B5F66"/>
    <w:rsid w:val="002C263B"/>
    <w:rsid w:val="002D6A7C"/>
    <w:rsid w:val="002E52A7"/>
    <w:rsid w:val="002F43C8"/>
    <w:rsid w:val="0030494F"/>
    <w:rsid w:val="00307A7D"/>
    <w:rsid w:val="00311865"/>
    <w:rsid w:val="00313262"/>
    <w:rsid w:val="00315FD3"/>
    <w:rsid w:val="00322DDD"/>
    <w:rsid w:val="00357CF5"/>
    <w:rsid w:val="00361A0D"/>
    <w:rsid w:val="00367C69"/>
    <w:rsid w:val="003948E6"/>
    <w:rsid w:val="003A0076"/>
    <w:rsid w:val="003A223C"/>
    <w:rsid w:val="003B6B0E"/>
    <w:rsid w:val="003C3075"/>
    <w:rsid w:val="003D1768"/>
    <w:rsid w:val="003E21E3"/>
    <w:rsid w:val="003F0C60"/>
    <w:rsid w:val="003F665C"/>
    <w:rsid w:val="004001C1"/>
    <w:rsid w:val="0040318E"/>
    <w:rsid w:val="00404EDC"/>
    <w:rsid w:val="00411DEF"/>
    <w:rsid w:val="00411F64"/>
    <w:rsid w:val="00415A20"/>
    <w:rsid w:val="00416CFC"/>
    <w:rsid w:val="00422E7D"/>
    <w:rsid w:val="00425748"/>
    <w:rsid w:val="00426792"/>
    <w:rsid w:val="00427A1C"/>
    <w:rsid w:val="004349FC"/>
    <w:rsid w:val="00435C18"/>
    <w:rsid w:val="00450682"/>
    <w:rsid w:val="00455D65"/>
    <w:rsid w:val="00465522"/>
    <w:rsid w:val="00466A2E"/>
    <w:rsid w:val="00482886"/>
    <w:rsid w:val="004859F5"/>
    <w:rsid w:val="0049578C"/>
    <w:rsid w:val="0049651E"/>
    <w:rsid w:val="004A4577"/>
    <w:rsid w:val="004A60B1"/>
    <w:rsid w:val="004B0565"/>
    <w:rsid w:val="004C2DB4"/>
    <w:rsid w:val="004C701E"/>
    <w:rsid w:val="004D0973"/>
    <w:rsid w:val="004F5A29"/>
    <w:rsid w:val="005029A3"/>
    <w:rsid w:val="00507B8E"/>
    <w:rsid w:val="00512FC9"/>
    <w:rsid w:val="00522462"/>
    <w:rsid w:val="00542089"/>
    <w:rsid w:val="00544F10"/>
    <w:rsid w:val="0054532F"/>
    <w:rsid w:val="0054660D"/>
    <w:rsid w:val="00556B61"/>
    <w:rsid w:val="0055711E"/>
    <w:rsid w:val="005630C9"/>
    <w:rsid w:val="00574A10"/>
    <w:rsid w:val="00575B98"/>
    <w:rsid w:val="005776E2"/>
    <w:rsid w:val="00582527"/>
    <w:rsid w:val="00586DFF"/>
    <w:rsid w:val="00587225"/>
    <w:rsid w:val="005C1E89"/>
    <w:rsid w:val="005C3C2A"/>
    <w:rsid w:val="005D006D"/>
    <w:rsid w:val="005D2202"/>
    <w:rsid w:val="005D50D9"/>
    <w:rsid w:val="00603184"/>
    <w:rsid w:val="00604A65"/>
    <w:rsid w:val="00626A7B"/>
    <w:rsid w:val="006343AB"/>
    <w:rsid w:val="00636A18"/>
    <w:rsid w:val="006452FB"/>
    <w:rsid w:val="00671973"/>
    <w:rsid w:val="006770AB"/>
    <w:rsid w:val="00681E9D"/>
    <w:rsid w:val="006852F8"/>
    <w:rsid w:val="00687B53"/>
    <w:rsid w:val="006B2512"/>
    <w:rsid w:val="006B4ABD"/>
    <w:rsid w:val="006C3C8E"/>
    <w:rsid w:val="006C6A1C"/>
    <w:rsid w:val="006D6AE3"/>
    <w:rsid w:val="006E0C92"/>
    <w:rsid w:val="006F1198"/>
    <w:rsid w:val="006F1DA9"/>
    <w:rsid w:val="006F3167"/>
    <w:rsid w:val="007005AD"/>
    <w:rsid w:val="0070290D"/>
    <w:rsid w:val="00713041"/>
    <w:rsid w:val="00733D51"/>
    <w:rsid w:val="00735EC9"/>
    <w:rsid w:val="00752AEE"/>
    <w:rsid w:val="00761474"/>
    <w:rsid w:val="0076395E"/>
    <w:rsid w:val="00774C4E"/>
    <w:rsid w:val="0078038B"/>
    <w:rsid w:val="00781DD7"/>
    <w:rsid w:val="00792004"/>
    <w:rsid w:val="007A615D"/>
    <w:rsid w:val="007A704F"/>
    <w:rsid w:val="007B2779"/>
    <w:rsid w:val="007B764B"/>
    <w:rsid w:val="007E0D72"/>
    <w:rsid w:val="007E1F63"/>
    <w:rsid w:val="007E5687"/>
    <w:rsid w:val="007E5C4B"/>
    <w:rsid w:val="007F52F4"/>
    <w:rsid w:val="007F62AA"/>
    <w:rsid w:val="008028F9"/>
    <w:rsid w:val="008056CD"/>
    <w:rsid w:val="0081278F"/>
    <w:rsid w:val="0081565E"/>
    <w:rsid w:val="00827736"/>
    <w:rsid w:val="0083290B"/>
    <w:rsid w:val="00856783"/>
    <w:rsid w:val="00861084"/>
    <w:rsid w:val="008821A4"/>
    <w:rsid w:val="00885EC0"/>
    <w:rsid w:val="00893870"/>
    <w:rsid w:val="00896521"/>
    <w:rsid w:val="008A1947"/>
    <w:rsid w:val="008B5789"/>
    <w:rsid w:val="008D74CE"/>
    <w:rsid w:val="008E4ABE"/>
    <w:rsid w:val="008E55C3"/>
    <w:rsid w:val="008E571F"/>
    <w:rsid w:val="008F4DA0"/>
    <w:rsid w:val="00900A45"/>
    <w:rsid w:val="00913258"/>
    <w:rsid w:val="0092365E"/>
    <w:rsid w:val="00941889"/>
    <w:rsid w:val="00947278"/>
    <w:rsid w:val="00972B7A"/>
    <w:rsid w:val="00986B72"/>
    <w:rsid w:val="0099790E"/>
    <w:rsid w:val="009B3707"/>
    <w:rsid w:val="009B762D"/>
    <w:rsid w:val="009D6DE6"/>
    <w:rsid w:val="009D715D"/>
    <w:rsid w:val="009D792E"/>
    <w:rsid w:val="009E4A43"/>
    <w:rsid w:val="009F0444"/>
    <w:rsid w:val="009F5F31"/>
    <w:rsid w:val="009F6697"/>
    <w:rsid w:val="009F7044"/>
    <w:rsid w:val="00A07747"/>
    <w:rsid w:val="00A27F22"/>
    <w:rsid w:val="00A32402"/>
    <w:rsid w:val="00A5598B"/>
    <w:rsid w:val="00A567A2"/>
    <w:rsid w:val="00A56AD7"/>
    <w:rsid w:val="00A632DA"/>
    <w:rsid w:val="00A645F6"/>
    <w:rsid w:val="00A67460"/>
    <w:rsid w:val="00A713B2"/>
    <w:rsid w:val="00A81512"/>
    <w:rsid w:val="00A90759"/>
    <w:rsid w:val="00A97D5F"/>
    <w:rsid w:val="00AF749A"/>
    <w:rsid w:val="00B00EA9"/>
    <w:rsid w:val="00B01B80"/>
    <w:rsid w:val="00B10BB8"/>
    <w:rsid w:val="00B23DDC"/>
    <w:rsid w:val="00B24F3F"/>
    <w:rsid w:val="00B27524"/>
    <w:rsid w:val="00B337A5"/>
    <w:rsid w:val="00B33FD3"/>
    <w:rsid w:val="00B54155"/>
    <w:rsid w:val="00B55490"/>
    <w:rsid w:val="00B573DA"/>
    <w:rsid w:val="00B57E59"/>
    <w:rsid w:val="00B713CD"/>
    <w:rsid w:val="00B9048B"/>
    <w:rsid w:val="00B931BF"/>
    <w:rsid w:val="00B95D03"/>
    <w:rsid w:val="00B96DDB"/>
    <w:rsid w:val="00BA034D"/>
    <w:rsid w:val="00BA24A1"/>
    <w:rsid w:val="00BB2014"/>
    <w:rsid w:val="00BB41E8"/>
    <w:rsid w:val="00BB5B70"/>
    <w:rsid w:val="00BC2B25"/>
    <w:rsid w:val="00BC69B4"/>
    <w:rsid w:val="00BC7CDC"/>
    <w:rsid w:val="00BD1746"/>
    <w:rsid w:val="00BE15D9"/>
    <w:rsid w:val="00BE7E1E"/>
    <w:rsid w:val="00C06957"/>
    <w:rsid w:val="00C06BCC"/>
    <w:rsid w:val="00C12381"/>
    <w:rsid w:val="00C20B5E"/>
    <w:rsid w:val="00C27EDB"/>
    <w:rsid w:val="00C5693F"/>
    <w:rsid w:val="00C57446"/>
    <w:rsid w:val="00C61A6D"/>
    <w:rsid w:val="00C66664"/>
    <w:rsid w:val="00C758E7"/>
    <w:rsid w:val="00C8285E"/>
    <w:rsid w:val="00CA0987"/>
    <w:rsid w:val="00CA5BD6"/>
    <w:rsid w:val="00CB13F7"/>
    <w:rsid w:val="00CD2EA5"/>
    <w:rsid w:val="00D04AE7"/>
    <w:rsid w:val="00D15B83"/>
    <w:rsid w:val="00D22FC7"/>
    <w:rsid w:val="00D40B8C"/>
    <w:rsid w:val="00D44FC8"/>
    <w:rsid w:val="00D46552"/>
    <w:rsid w:val="00D46A1F"/>
    <w:rsid w:val="00D6472D"/>
    <w:rsid w:val="00D70B71"/>
    <w:rsid w:val="00D7393F"/>
    <w:rsid w:val="00D749A8"/>
    <w:rsid w:val="00D74B3A"/>
    <w:rsid w:val="00D75B97"/>
    <w:rsid w:val="00DA0671"/>
    <w:rsid w:val="00DA7ECE"/>
    <w:rsid w:val="00DB48F8"/>
    <w:rsid w:val="00DB5F5E"/>
    <w:rsid w:val="00DC00A1"/>
    <w:rsid w:val="00DC46D2"/>
    <w:rsid w:val="00DD3F59"/>
    <w:rsid w:val="00DD6F52"/>
    <w:rsid w:val="00DF0BB8"/>
    <w:rsid w:val="00E03574"/>
    <w:rsid w:val="00E04216"/>
    <w:rsid w:val="00E12A05"/>
    <w:rsid w:val="00E16BF6"/>
    <w:rsid w:val="00E323BD"/>
    <w:rsid w:val="00E3710C"/>
    <w:rsid w:val="00E4271A"/>
    <w:rsid w:val="00E54730"/>
    <w:rsid w:val="00E54732"/>
    <w:rsid w:val="00E549E2"/>
    <w:rsid w:val="00E7776F"/>
    <w:rsid w:val="00E911DE"/>
    <w:rsid w:val="00EA08F1"/>
    <w:rsid w:val="00EB0A53"/>
    <w:rsid w:val="00EB5380"/>
    <w:rsid w:val="00EB7225"/>
    <w:rsid w:val="00EC7371"/>
    <w:rsid w:val="00ED4F09"/>
    <w:rsid w:val="00EE2C06"/>
    <w:rsid w:val="00EF0A68"/>
    <w:rsid w:val="00F03A3E"/>
    <w:rsid w:val="00F0650C"/>
    <w:rsid w:val="00F07732"/>
    <w:rsid w:val="00F1445C"/>
    <w:rsid w:val="00F160CF"/>
    <w:rsid w:val="00F21C58"/>
    <w:rsid w:val="00F24059"/>
    <w:rsid w:val="00F27DF1"/>
    <w:rsid w:val="00F34E04"/>
    <w:rsid w:val="00F3618F"/>
    <w:rsid w:val="00F5000E"/>
    <w:rsid w:val="00F5175D"/>
    <w:rsid w:val="00F52079"/>
    <w:rsid w:val="00F63113"/>
    <w:rsid w:val="00F66DCA"/>
    <w:rsid w:val="00F80751"/>
    <w:rsid w:val="00F95298"/>
    <w:rsid w:val="00FA62DB"/>
    <w:rsid w:val="00FB1085"/>
    <w:rsid w:val="00FC49F6"/>
    <w:rsid w:val="00FD3C7E"/>
    <w:rsid w:val="00FD56F2"/>
    <w:rsid w:val="00FD7D33"/>
    <w:rsid w:val="00FE017A"/>
    <w:rsid w:val="00FF0E45"/>
    <w:rsid w:val="00FF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DB9C"/>
  <w15:chartTrackingRefBased/>
  <w15:docId w15:val="{9B1DDE38-03DB-4623-A484-4181FFD3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420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BBD"/>
    <w:pPr>
      <w:ind w:left="720"/>
      <w:contextualSpacing/>
    </w:pPr>
  </w:style>
  <w:style w:type="character" w:customStyle="1" w:styleId="rvts23">
    <w:name w:val="rvts23"/>
    <w:basedOn w:val="a0"/>
    <w:rsid w:val="003D1768"/>
  </w:style>
  <w:style w:type="paragraph" w:customStyle="1" w:styleId="a4">
    <w:name w:val="Нормальний текст"/>
    <w:basedOn w:val="a"/>
    <w:rsid w:val="00C758E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F1445C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table" w:styleId="a5">
    <w:name w:val="Table Grid"/>
    <w:basedOn w:val="a1"/>
    <w:uiPriority w:val="39"/>
    <w:rsid w:val="009F7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746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67460"/>
  </w:style>
  <w:style w:type="paragraph" w:styleId="a8">
    <w:name w:val="footer"/>
    <w:basedOn w:val="a"/>
    <w:link w:val="a9"/>
    <w:uiPriority w:val="99"/>
    <w:unhideWhenUsed/>
    <w:rsid w:val="00A6746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67460"/>
  </w:style>
  <w:style w:type="paragraph" w:styleId="aa">
    <w:name w:val="Balloon Text"/>
    <w:basedOn w:val="a"/>
    <w:link w:val="ab"/>
    <w:uiPriority w:val="99"/>
    <w:semiHidden/>
    <w:unhideWhenUsed/>
    <w:rsid w:val="00DD3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D3F59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544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d">
    <w:name w:val="Strong"/>
    <w:basedOn w:val="a0"/>
    <w:uiPriority w:val="22"/>
    <w:qFormat/>
    <w:rsid w:val="00F2405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542089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9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30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46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0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9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1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0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32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55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83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0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3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76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6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0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17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9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6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6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5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2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населення деокупованих територіальних громад Херсонської області станом на 1 жовтня 2025 року</a:t>
            </a:r>
          </a:p>
        </c:rich>
      </c:tx>
      <c:layout>
        <c:manualLayout>
          <c:xMode val="edge"/>
          <c:yMode val="edge"/>
          <c:x val="7.9354445797807566E-2"/>
          <c:y val="4.0217629046369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8578261829420856E-2"/>
          <c:y val="0.31186516289424215"/>
          <c:w val="0.91435185185185186"/>
          <c:h val="0.5338685789276339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населення деокупованих територіальних громад Херсонської області станом на 1 жовтня 2025 року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42D-4AE7-B621-F3651BC44B4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242D-4AE7-B621-F3651BC44B40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242D-4AE7-B621-F3651BC44B40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242D-4AE7-B621-F3651BC44B40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242D-4AE7-B621-F3651BC44B40}"/>
              </c:ext>
            </c:extLst>
          </c:dPt>
          <c:cat>
            <c:strRef>
              <c:f>Лист1!$A$2:$A$6</c:f>
              <c:strCache>
                <c:ptCount val="5"/>
                <c:pt idx="0">
                  <c:v>чоловіки</c:v>
                </c:pt>
                <c:pt idx="1">
                  <c:v>жінки</c:v>
                </c:pt>
                <c:pt idx="2">
                  <c:v>діти 0-2 роки</c:v>
                </c:pt>
                <c:pt idx="3">
                  <c:v>діти2-5 років</c:v>
                </c:pt>
                <c:pt idx="4">
                  <c:v>діти 5-14 років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47484</c:v>
                </c:pt>
                <c:pt idx="1">
                  <c:v>76126</c:v>
                </c:pt>
                <c:pt idx="2">
                  <c:v>1055</c:v>
                </c:pt>
                <c:pt idx="3">
                  <c:v>2062</c:v>
                </c:pt>
                <c:pt idx="4">
                  <c:v>8044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42D-4AE7-B621-F3651BC44B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Соціально вразливі категорії населення деокупованих територіальних громад Херсонської області станом на 1 жовтня 2025 року</a:t>
            </a:r>
          </a:p>
        </c:rich>
      </c:tx>
      <c:layout>
        <c:manualLayout>
          <c:xMode val="edge"/>
          <c:yMode val="edge"/>
          <c:x val="7.4489501312335948E-2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54096144382192612"/>
          <c:y val="0.19948412698412699"/>
          <c:w val="0.39484009060165554"/>
          <c:h val="0.78215941757280338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Соціально вразливі категорії населення деокупованих територіальних громад Херсонської області станом на 1 жовтня 2025 року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CCC-45A9-8B02-3513802064C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CCC-45A9-8B02-3513802064C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CCC-45A9-8B02-3513802064C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CCC-45A9-8B02-3513802064C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8CCC-45A9-8B02-3513802064C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8CCC-45A9-8B02-3513802064C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8CCC-45A9-8B02-3513802064C4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8CCC-45A9-8B02-3513802064C4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Маломобільні групи та люди з інвалідністю</c:v>
                </c:pt>
                <c:pt idx="1">
                  <c:v>Діти сироти та діти під опікою</c:v>
                </c:pt>
                <c:pt idx="2">
                  <c:v>Малозабезпечені</c:v>
                </c:pt>
                <c:pt idx="3">
                  <c:v>Багатодітні родини</c:v>
                </c:pt>
                <c:pt idx="4">
                  <c:v>Внутрішньо переміщені особи </c:v>
                </c:pt>
                <c:pt idx="5">
                  <c:v>Люди старшого віку</c:v>
                </c:pt>
                <c:pt idx="6">
                  <c:v>Учасники бойових дій та особи з інвалідністю внаслідок війни</c:v>
                </c:pt>
                <c:pt idx="7">
                  <c:v>Родини загиблих захисників та захисниць України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9567</c:v>
                </c:pt>
                <c:pt idx="1">
                  <c:v>246</c:v>
                </c:pt>
                <c:pt idx="2">
                  <c:v>9814</c:v>
                </c:pt>
                <c:pt idx="3">
                  <c:v>1147</c:v>
                </c:pt>
                <c:pt idx="4">
                  <c:v>34353</c:v>
                </c:pt>
                <c:pt idx="5">
                  <c:v>57224</c:v>
                </c:pt>
                <c:pt idx="6">
                  <c:v>5055</c:v>
                </c:pt>
                <c:pt idx="7">
                  <c:v>1529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8CCC-45A9-8B02-3513802064C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2.3767552493438319E-2"/>
          <c:y val="0.24632702162229722"/>
          <c:w val="0.49498244750656167"/>
          <c:h val="0.73313960754905649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87B28-0285-43BB-A7FC-0D2FEC48C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11</Pages>
  <Words>11526</Words>
  <Characters>6571</Characters>
  <Application>Microsoft Office Word</Application>
  <DocSecurity>0</DocSecurity>
  <Lines>54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</dc:creator>
  <cp:keywords/>
  <dc:description/>
  <cp:lastModifiedBy>admin</cp:lastModifiedBy>
  <cp:revision>10</cp:revision>
  <cp:lastPrinted>2022-02-08T09:14:00Z</cp:lastPrinted>
  <dcterms:created xsi:type="dcterms:W3CDTF">2025-10-21T19:58:00Z</dcterms:created>
  <dcterms:modified xsi:type="dcterms:W3CDTF">2025-10-22T07:59:00Z</dcterms:modified>
</cp:coreProperties>
</file>