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0F" w:rsidRDefault="00EE300F" w:rsidP="00EE30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EE300F">
        <w:rPr>
          <w:rFonts w:ascii="Times New Roman" w:hAnsi="Times New Roman" w:cs="Times New Roman"/>
          <w:b/>
          <w:bCs/>
          <w:sz w:val="28"/>
          <w:szCs w:val="28"/>
        </w:rPr>
        <w:t>Аналіз</w:t>
      </w:r>
      <w:proofErr w:type="spellEnd"/>
      <w:r w:rsidRPr="00EE300F">
        <w:rPr>
          <w:rFonts w:ascii="Times New Roman" w:hAnsi="Times New Roman" w:cs="Times New Roman"/>
          <w:b/>
          <w:bCs/>
          <w:sz w:val="28"/>
          <w:szCs w:val="28"/>
        </w:rPr>
        <w:t xml:space="preserve"> регуляторного </w:t>
      </w:r>
      <w:proofErr w:type="spellStart"/>
      <w:r w:rsidRPr="00EE300F">
        <w:rPr>
          <w:rFonts w:ascii="Times New Roman" w:hAnsi="Times New Roman" w:cs="Times New Roman"/>
          <w:b/>
          <w:bCs/>
          <w:sz w:val="28"/>
          <w:szCs w:val="28"/>
        </w:rPr>
        <w:t>впливу</w:t>
      </w:r>
      <w:proofErr w:type="spellEnd"/>
    </w:p>
    <w:p w:rsidR="00EE300F" w:rsidRDefault="00EE300F" w:rsidP="00EE300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E300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проекту розпорядження голови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Херсонської</w:t>
      </w:r>
      <w:r w:rsidRPr="00EE300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обласної державної адміністрації </w:t>
      </w:r>
      <w:bookmarkStart w:id="0" w:name="_GoBack"/>
      <w:r w:rsidR="005B2E33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</w:t>
      </w:r>
      <w:r w:rsidRPr="00EE300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Порядку надання дозволів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</w:t>
      </w:r>
      <w:r w:rsidRPr="00EE300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розміщення зовнішньої реклами поза межами населених пунктів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Херсонської </w:t>
      </w:r>
      <w:r w:rsidRPr="00EE300F">
        <w:rPr>
          <w:rFonts w:ascii="Times New Roman" w:hAnsi="Times New Roman" w:cs="Times New Roman"/>
          <w:bCs/>
          <w:sz w:val="28"/>
          <w:szCs w:val="28"/>
          <w:lang w:val="uk-UA"/>
        </w:rPr>
        <w:t>області</w:t>
      </w:r>
      <w:r w:rsidR="005B2E33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bookmarkEnd w:id="0"/>
    </w:p>
    <w:p w:rsidR="00EE300F" w:rsidRDefault="00EE300F" w:rsidP="00EE300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E300F" w:rsidRDefault="00EE300F" w:rsidP="00EE3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00F">
        <w:rPr>
          <w:rFonts w:ascii="Times New Roman" w:hAnsi="Times New Roman" w:cs="Times New Roman"/>
          <w:b/>
          <w:bCs/>
          <w:sz w:val="28"/>
          <w:szCs w:val="28"/>
          <w:lang w:val="uk-UA"/>
        </w:rPr>
        <w:t>         </w:t>
      </w:r>
      <w:r w:rsidRPr="00EE300F">
        <w:rPr>
          <w:rFonts w:ascii="Times New Roman" w:hAnsi="Times New Roman" w:cs="Times New Roman"/>
          <w:sz w:val="28"/>
          <w:szCs w:val="28"/>
          <w:lang w:val="uk-UA"/>
        </w:rPr>
        <w:t xml:space="preserve">Даний аналіз регуляторного впливу розроблений на виконання та з дотриманням вимог Закону України </w:t>
      </w:r>
      <w:r w:rsidR="005B2E3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E300F">
        <w:rPr>
          <w:rFonts w:ascii="Times New Roman" w:hAnsi="Times New Roman" w:cs="Times New Roman"/>
          <w:sz w:val="28"/>
          <w:szCs w:val="28"/>
          <w:lang w:val="uk-UA"/>
        </w:rPr>
        <w:t>Про засади державної регуляторної політики у сфері господарської діяльності</w:t>
      </w:r>
      <w:r w:rsidR="005B2E3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E300F">
        <w:rPr>
          <w:rFonts w:ascii="Times New Roman" w:hAnsi="Times New Roman" w:cs="Times New Roman"/>
          <w:sz w:val="28"/>
          <w:szCs w:val="28"/>
          <w:lang w:val="uk-UA"/>
        </w:rPr>
        <w:t xml:space="preserve"> і Методики проведення аналізу впливу регуляторного акта, затвердженої постановою Кабінету Міністрів України від 11 березня 2004 року № 308 (із змінами)</w:t>
      </w:r>
      <w:r w:rsidR="007B3BC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E30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B3BC5" w:rsidRPr="00EE300F" w:rsidRDefault="007B3BC5" w:rsidP="00EE3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300F" w:rsidRDefault="00EE300F" w:rsidP="007B3BC5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B3BC5">
        <w:rPr>
          <w:rFonts w:ascii="Times New Roman" w:hAnsi="Times New Roman" w:cs="Times New Roman"/>
          <w:b/>
          <w:bCs/>
          <w:sz w:val="28"/>
          <w:szCs w:val="28"/>
          <w:lang w:val="uk-UA"/>
        </w:rPr>
        <w:t>1. Визначення та аналіз проблеми</w:t>
      </w:r>
      <w:r w:rsidR="007B3BC5" w:rsidRPr="007B3BC5">
        <w:rPr>
          <w:rFonts w:ascii="Times New Roman" w:hAnsi="Times New Roman" w:cs="Times New Roman"/>
          <w:b/>
          <w:bCs/>
          <w:sz w:val="28"/>
          <w:szCs w:val="28"/>
          <w:lang w:val="uk-UA"/>
        </w:rPr>
        <w:t>, яку передбачається розв’язати шляхом запровадження державного регулювання</w:t>
      </w:r>
      <w:r w:rsidRPr="007B3BC5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7B3BC5" w:rsidRPr="007B3BC5" w:rsidRDefault="007B3BC5" w:rsidP="007B3BC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EE300F" w:rsidRPr="007B3BC5" w:rsidRDefault="00EE300F" w:rsidP="007B3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3BC5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частини 1 статті 16 Закону України </w:t>
      </w:r>
      <w:r w:rsidR="005B2E3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B3BC5">
        <w:rPr>
          <w:rFonts w:ascii="Times New Roman" w:hAnsi="Times New Roman" w:cs="Times New Roman"/>
          <w:sz w:val="28"/>
          <w:szCs w:val="28"/>
          <w:lang w:val="uk-UA"/>
        </w:rPr>
        <w:t>Про рекламу</w:t>
      </w:r>
      <w:r w:rsidR="005B2E3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B3BC5">
        <w:rPr>
          <w:rFonts w:ascii="Times New Roman" w:hAnsi="Times New Roman" w:cs="Times New Roman"/>
          <w:sz w:val="28"/>
          <w:szCs w:val="28"/>
          <w:lang w:val="uk-UA"/>
        </w:rPr>
        <w:t xml:space="preserve"> розміщення зовнішньої реклами поза межами населених пунктів здійснюється на підставі дозволів, що надаються обласними державними адміністраціями, а на території Автономної Республіки Крим – Радою міністрів Автономної Республіки Крим, в порядку, встановленому цими органами на підставі типових правил , що затверджуються Кабінетом Міністрів України.</w:t>
      </w:r>
    </w:p>
    <w:p w:rsidR="00EE300F" w:rsidRPr="007B3BC5" w:rsidRDefault="007B3BC5" w:rsidP="007B3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Згідно з </w:t>
      </w:r>
      <w:r w:rsidR="00EE300F" w:rsidRPr="007B3B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E300F" w:rsidRPr="007B3BC5">
        <w:rPr>
          <w:rFonts w:ascii="Times New Roman" w:hAnsi="Times New Roman" w:cs="Times New Roman"/>
          <w:sz w:val="28"/>
          <w:szCs w:val="28"/>
          <w:lang w:val="uk-UA"/>
        </w:rPr>
        <w:t>останов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EE300F" w:rsidRPr="007B3BC5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05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грудня </w:t>
      </w:r>
      <w:r w:rsidR="00EE300F" w:rsidRPr="007B3BC5">
        <w:rPr>
          <w:rFonts w:ascii="Times New Roman" w:hAnsi="Times New Roman" w:cs="Times New Roman"/>
          <w:sz w:val="28"/>
          <w:szCs w:val="28"/>
          <w:lang w:val="uk-UA"/>
        </w:rPr>
        <w:t>2012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EE300F" w:rsidRPr="007B3BC5">
        <w:rPr>
          <w:rFonts w:ascii="Times New Roman" w:hAnsi="Times New Roman" w:cs="Times New Roman"/>
          <w:sz w:val="28"/>
          <w:szCs w:val="28"/>
          <w:lang w:val="uk-UA"/>
        </w:rPr>
        <w:t xml:space="preserve"> № 1135 «Про затвердження Типових правил розміщення зовнішньої реклами поза межами населених пунктів» передбачено, що видача дозволів на розміщення зовнішньої реклами поза межами населених пунктів здійснюється обласними державними адміністраціями.</w:t>
      </w:r>
    </w:p>
    <w:p w:rsidR="00EE300F" w:rsidRPr="007B3BC5" w:rsidRDefault="00E44F00" w:rsidP="007B3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сьогодні розпорядженням голови Херсонської обласної державної адміністрації від 25 листопада 2013 року № 774, зареєстрованим в Головному управлінні юстиції у Херсонській області за 04 грудня 2013 року за № 67/1441, затверджено </w:t>
      </w:r>
      <w:r w:rsidRPr="00E44F00">
        <w:rPr>
          <w:rFonts w:ascii="Times New Roman" w:hAnsi="Times New Roman" w:cs="Times New Roman"/>
          <w:bCs/>
          <w:sz w:val="28"/>
          <w:szCs w:val="28"/>
          <w:lang w:val="uk-UA"/>
        </w:rPr>
        <w:t>Поряд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ок</w:t>
      </w:r>
      <w:r w:rsidRPr="00E44F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надання дозволів на розміщення зовнішньої реклами поза межами населених пунктів Херсонської 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EE300F" w:rsidRPr="007B3BC5" w:rsidRDefault="00EE300F" w:rsidP="007B3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3BC5">
        <w:rPr>
          <w:rFonts w:ascii="Times New Roman" w:hAnsi="Times New Roman" w:cs="Times New Roman"/>
          <w:sz w:val="28"/>
          <w:szCs w:val="28"/>
          <w:lang w:val="uk-UA"/>
        </w:rPr>
        <w:t xml:space="preserve">Однак у зв'язку із прийняттям постанови Кабінету Міністрів України від 16 грудня 2015 року № 1136 </w:t>
      </w:r>
      <w:r w:rsidR="005B2E3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B3BC5">
        <w:rPr>
          <w:rFonts w:ascii="Times New Roman" w:hAnsi="Times New Roman" w:cs="Times New Roman"/>
          <w:sz w:val="28"/>
          <w:szCs w:val="28"/>
          <w:lang w:val="uk-UA"/>
        </w:rPr>
        <w:t>Про внесення змін до Типових правил розміщення зовнішньої реклами поза межами населених пунктів</w:t>
      </w:r>
      <w:r w:rsidR="005B2E3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B3B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4F00">
        <w:rPr>
          <w:rFonts w:ascii="Times New Roman" w:hAnsi="Times New Roman" w:cs="Times New Roman"/>
          <w:sz w:val="28"/>
          <w:szCs w:val="28"/>
          <w:lang w:val="uk-UA"/>
        </w:rPr>
        <w:t xml:space="preserve">та у зв’язку з реорганізацією структурних підрозділів Херсонської обласної адміністрації, </w:t>
      </w:r>
      <w:r w:rsidRPr="007B3BC5">
        <w:rPr>
          <w:rFonts w:ascii="Times New Roman" w:hAnsi="Times New Roman" w:cs="Times New Roman"/>
          <w:sz w:val="28"/>
          <w:szCs w:val="28"/>
          <w:lang w:val="uk-UA"/>
        </w:rPr>
        <w:t xml:space="preserve">зазначені правила потребують </w:t>
      </w:r>
      <w:r w:rsidR="005906A3">
        <w:rPr>
          <w:rFonts w:ascii="Times New Roman" w:hAnsi="Times New Roman" w:cs="Times New Roman"/>
          <w:sz w:val="28"/>
          <w:szCs w:val="28"/>
          <w:lang w:val="uk-UA"/>
        </w:rPr>
        <w:t>видання у новій редакції</w:t>
      </w:r>
      <w:r w:rsidRPr="007B3BC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06A3" w:rsidRPr="005906A3" w:rsidRDefault="00EE300F" w:rsidP="005906A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B3BC5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вищенаведених актів чинного законодавства України, з метою врегулювання відносин, що виникають у зв’язку з розміщенням зовнішньої реклами поза межами населених пунктів у </w:t>
      </w:r>
      <w:r w:rsidR="005906A3">
        <w:rPr>
          <w:rFonts w:ascii="Times New Roman" w:hAnsi="Times New Roman" w:cs="Times New Roman"/>
          <w:sz w:val="28"/>
          <w:szCs w:val="28"/>
          <w:lang w:val="uk-UA"/>
        </w:rPr>
        <w:t>Херсонській</w:t>
      </w:r>
      <w:r w:rsidRPr="007B3BC5">
        <w:rPr>
          <w:rFonts w:ascii="Times New Roman" w:hAnsi="Times New Roman" w:cs="Times New Roman"/>
          <w:sz w:val="28"/>
          <w:szCs w:val="28"/>
          <w:lang w:val="uk-UA"/>
        </w:rPr>
        <w:t xml:space="preserve"> області, розроблено проект розпорядження голови </w:t>
      </w:r>
      <w:r w:rsidR="00E44F00">
        <w:rPr>
          <w:rFonts w:ascii="Times New Roman" w:hAnsi="Times New Roman" w:cs="Times New Roman"/>
          <w:sz w:val="28"/>
          <w:szCs w:val="28"/>
          <w:lang w:val="uk-UA"/>
        </w:rPr>
        <w:t>Херсонської</w:t>
      </w:r>
      <w:r w:rsidRPr="007B3BC5">
        <w:rPr>
          <w:rFonts w:ascii="Times New Roman" w:hAnsi="Times New Roman" w:cs="Times New Roman"/>
          <w:sz w:val="28"/>
          <w:szCs w:val="28"/>
          <w:lang w:val="uk-UA"/>
        </w:rPr>
        <w:t xml:space="preserve"> обласної державної адміністрації </w:t>
      </w:r>
      <w:r w:rsidR="005B2E33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5906A3" w:rsidRPr="005906A3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Порядку надання дозволів на розміщення зовнішньої реклами поза межами населених пунктів Херсонської області</w:t>
      </w:r>
      <w:r w:rsidR="005B2E33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5906A3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EE300F" w:rsidRPr="007B3BC5" w:rsidRDefault="00EE300F" w:rsidP="005906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3BC5">
        <w:rPr>
          <w:rFonts w:ascii="Times New Roman" w:hAnsi="Times New Roman" w:cs="Times New Roman"/>
          <w:sz w:val="28"/>
          <w:szCs w:val="28"/>
          <w:lang w:val="uk-UA"/>
        </w:rPr>
        <w:t>Державне регулювання пропонується здійснити шляхом запровадження цього регуляторного акта.</w:t>
      </w:r>
    </w:p>
    <w:p w:rsidR="00EE300F" w:rsidRPr="005906A3" w:rsidRDefault="00EE300F" w:rsidP="005906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6A3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Видання вказаного розпорядження голови обласної державної адміністрації забезпечить створення необхідних правових підстав для регулювання зазначеної сфери суспільних відносин.</w:t>
      </w:r>
    </w:p>
    <w:p w:rsidR="00EE300F" w:rsidRDefault="00EE300F" w:rsidP="005906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6A3">
        <w:rPr>
          <w:rFonts w:ascii="Times New Roman" w:hAnsi="Times New Roman" w:cs="Times New Roman"/>
          <w:sz w:val="28"/>
          <w:szCs w:val="28"/>
          <w:lang w:val="uk-UA"/>
        </w:rPr>
        <w:t xml:space="preserve">Дія цього регуляторного акта поширюватиметься на всій території </w:t>
      </w:r>
      <w:r w:rsidR="005906A3">
        <w:rPr>
          <w:rFonts w:ascii="Times New Roman" w:hAnsi="Times New Roman" w:cs="Times New Roman"/>
          <w:sz w:val="28"/>
          <w:szCs w:val="28"/>
          <w:lang w:val="uk-UA"/>
        </w:rPr>
        <w:t>Херсонсько</w:t>
      </w:r>
      <w:r w:rsidRPr="005906A3">
        <w:rPr>
          <w:rFonts w:ascii="Times New Roman" w:hAnsi="Times New Roman" w:cs="Times New Roman"/>
          <w:sz w:val="28"/>
          <w:szCs w:val="28"/>
          <w:lang w:val="uk-UA"/>
        </w:rPr>
        <w:t xml:space="preserve">ї області, а його вимоги будуть обов’язкові для виконання всіма суб'єктами господарювання, що здійснюють розміщення зовнішньої реклами поза межами населених пунктів </w:t>
      </w:r>
      <w:r w:rsidR="005906A3">
        <w:rPr>
          <w:rFonts w:ascii="Times New Roman" w:hAnsi="Times New Roman" w:cs="Times New Roman"/>
          <w:sz w:val="28"/>
          <w:szCs w:val="28"/>
          <w:lang w:val="uk-UA"/>
        </w:rPr>
        <w:t>Херсонської</w:t>
      </w:r>
      <w:r w:rsidRPr="005906A3">
        <w:rPr>
          <w:rFonts w:ascii="Times New Roman" w:hAnsi="Times New Roman" w:cs="Times New Roman"/>
          <w:sz w:val="28"/>
          <w:szCs w:val="28"/>
          <w:lang w:val="uk-UA"/>
        </w:rPr>
        <w:t xml:space="preserve"> області.</w:t>
      </w:r>
    </w:p>
    <w:p w:rsidR="005906A3" w:rsidRPr="005906A3" w:rsidRDefault="005906A3" w:rsidP="005906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300F" w:rsidRDefault="00EE300F" w:rsidP="005906A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E300F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EE3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00F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EE300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EE300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E300F">
        <w:rPr>
          <w:rFonts w:ascii="Times New Roman" w:hAnsi="Times New Roman" w:cs="Times New Roman"/>
          <w:sz w:val="28"/>
          <w:szCs w:val="28"/>
        </w:rPr>
        <w:t>ідгрупи</w:t>
      </w:r>
      <w:proofErr w:type="spellEnd"/>
      <w:r w:rsidRPr="00EE300F">
        <w:rPr>
          <w:rFonts w:ascii="Times New Roman" w:hAnsi="Times New Roman" w:cs="Times New Roman"/>
          <w:sz w:val="28"/>
          <w:szCs w:val="28"/>
        </w:rPr>
        <w:t xml:space="preserve">), на </w:t>
      </w:r>
      <w:proofErr w:type="spellStart"/>
      <w:r w:rsidRPr="00EE300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E300F">
        <w:rPr>
          <w:rFonts w:ascii="Times New Roman" w:hAnsi="Times New Roman" w:cs="Times New Roman"/>
          <w:sz w:val="28"/>
          <w:szCs w:val="28"/>
        </w:rPr>
        <w:t xml:space="preserve"> проблема </w:t>
      </w:r>
      <w:proofErr w:type="spellStart"/>
      <w:r w:rsidRPr="00EE300F">
        <w:rPr>
          <w:rFonts w:ascii="Times New Roman" w:hAnsi="Times New Roman" w:cs="Times New Roman"/>
          <w:sz w:val="28"/>
          <w:szCs w:val="28"/>
        </w:rPr>
        <w:t>справляє</w:t>
      </w:r>
      <w:proofErr w:type="spellEnd"/>
      <w:r w:rsidRPr="00EE3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00F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EE300F">
        <w:rPr>
          <w:rFonts w:ascii="Times New Roman" w:hAnsi="Times New Roman" w:cs="Times New Roman"/>
          <w:sz w:val="28"/>
          <w:szCs w:val="28"/>
        </w:rPr>
        <w:t>:</w:t>
      </w:r>
    </w:p>
    <w:p w:rsidR="005906A3" w:rsidRPr="005906A3" w:rsidRDefault="005906A3" w:rsidP="005906A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  <w:gridCol w:w="1275"/>
        <w:gridCol w:w="1095"/>
      </w:tblGrid>
      <w:tr w:rsidR="00EE300F" w:rsidRPr="00EE300F" w:rsidTr="005906A3">
        <w:trPr>
          <w:tblCellSpacing w:w="0" w:type="dxa"/>
        </w:trPr>
        <w:tc>
          <w:tcPr>
            <w:tcW w:w="7200" w:type="dxa"/>
            <w:hideMark/>
          </w:tcPr>
          <w:p w:rsidR="00FE62C3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Групи</w:t>
            </w:r>
            <w:proofErr w:type="spellEnd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ідгрупи</w:t>
            </w:r>
            <w:proofErr w:type="spellEnd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75" w:type="dxa"/>
            <w:hideMark/>
          </w:tcPr>
          <w:p w:rsidR="00FE62C3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Так</w:t>
            </w:r>
          </w:p>
        </w:tc>
        <w:tc>
          <w:tcPr>
            <w:tcW w:w="1095" w:type="dxa"/>
            <w:hideMark/>
          </w:tcPr>
          <w:p w:rsidR="00FE62C3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Ні</w:t>
            </w:r>
            <w:proofErr w:type="spellEnd"/>
          </w:p>
        </w:tc>
      </w:tr>
      <w:tr w:rsidR="00EE300F" w:rsidRPr="00EE300F" w:rsidTr="005906A3">
        <w:trPr>
          <w:tblCellSpacing w:w="0" w:type="dxa"/>
        </w:trPr>
        <w:tc>
          <w:tcPr>
            <w:tcW w:w="7200" w:type="dxa"/>
            <w:hideMark/>
          </w:tcPr>
          <w:p w:rsidR="00EE300F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Громадяни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hideMark/>
          </w:tcPr>
          <w:p w:rsidR="00FE62C3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95" w:type="dxa"/>
            <w:hideMark/>
          </w:tcPr>
          <w:p w:rsidR="00EE300F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0F" w:rsidRPr="00EE300F" w:rsidTr="005906A3">
        <w:trPr>
          <w:tblCellSpacing w:w="0" w:type="dxa"/>
        </w:trPr>
        <w:tc>
          <w:tcPr>
            <w:tcW w:w="7200" w:type="dxa"/>
            <w:hideMark/>
          </w:tcPr>
          <w:p w:rsidR="00EE300F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Держава </w:t>
            </w:r>
          </w:p>
        </w:tc>
        <w:tc>
          <w:tcPr>
            <w:tcW w:w="1275" w:type="dxa"/>
            <w:hideMark/>
          </w:tcPr>
          <w:p w:rsidR="00FE62C3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95" w:type="dxa"/>
            <w:hideMark/>
          </w:tcPr>
          <w:p w:rsidR="00EE300F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0F" w:rsidRPr="00EE300F" w:rsidTr="005906A3">
        <w:trPr>
          <w:tblCellSpacing w:w="0" w:type="dxa"/>
        </w:trPr>
        <w:tc>
          <w:tcPr>
            <w:tcW w:w="7200" w:type="dxa"/>
            <w:hideMark/>
          </w:tcPr>
          <w:p w:rsidR="00EE300F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Суб’єкти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господарювання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, у тому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числі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суб’єкти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малого </w:t>
            </w:r>
            <w:proofErr w:type="spellStart"/>
            <w:proofErr w:type="gram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ідприємництва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hideMark/>
          </w:tcPr>
          <w:p w:rsidR="00FE62C3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95" w:type="dxa"/>
            <w:hideMark/>
          </w:tcPr>
          <w:p w:rsidR="00EE300F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06A3" w:rsidRDefault="005906A3" w:rsidP="00EE30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E300F" w:rsidRPr="00EE300F" w:rsidRDefault="00EE300F" w:rsidP="005906A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E300F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proofErr w:type="gramStart"/>
      <w:r w:rsidRPr="00EE300F">
        <w:rPr>
          <w:rFonts w:ascii="Times New Roman" w:hAnsi="Times New Roman" w:cs="Times New Roman"/>
          <w:b/>
          <w:bCs/>
          <w:sz w:val="28"/>
          <w:szCs w:val="28"/>
        </w:rPr>
        <w:t>Ц</w:t>
      </w:r>
      <w:proofErr w:type="gramEnd"/>
      <w:r w:rsidRPr="00EE300F">
        <w:rPr>
          <w:rFonts w:ascii="Times New Roman" w:hAnsi="Times New Roman" w:cs="Times New Roman"/>
          <w:b/>
          <w:bCs/>
          <w:sz w:val="28"/>
          <w:szCs w:val="28"/>
        </w:rPr>
        <w:t>ілі</w:t>
      </w:r>
      <w:proofErr w:type="spellEnd"/>
      <w:r w:rsidRPr="00EE300F">
        <w:rPr>
          <w:rFonts w:ascii="Times New Roman" w:hAnsi="Times New Roman" w:cs="Times New Roman"/>
          <w:b/>
          <w:bCs/>
          <w:sz w:val="28"/>
          <w:szCs w:val="28"/>
        </w:rPr>
        <w:t xml:space="preserve"> державного </w:t>
      </w:r>
      <w:proofErr w:type="spellStart"/>
      <w:r w:rsidRPr="00EE300F">
        <w:rPr>
          <w:rFonts w:ascii="Times New Roman" w:hAnsi="Times New Roman" w:cs="Times New Roman"/>
          <w:b/>
          <w:bCs/>
          <w:sz w:val="28"/>
          <w:szCs w:val="28"/>
        </w:rPr>
        <w:t>регулювання</w:t>
      </w:r>
      <w:proofErr w:type="spellEnd"/>
    </w:p>
    <w:p w:rsidR="00EE300F" w:rsidRPr="00EE300F" w:rsidRDefault="00EE300F" w:rsidP="00EE30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00F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EE300F" w:rsidRPr="005906A3" w:rsidRDefault="00EE300F" w:rsidP="005906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6A3">
        <w:rPr>
          <w:rFonts w:ascii="Times New Roman" w:hAnsi="Times New Roman" w:cs="Times New Roman"/>
          <w:sz w:val="28"/>
          <w:szCs w:val="28"/>
          <w:lang w:val="uk-UA"/>
        </w:rPr>
        <w:t xml:space="preserve">Основною </w:t>
      </w:r>
      <w:r w:rsidR="00E44F00">
        <w:rPr>
          <w:rFonts w:ascii="Times New Roman" w:hAnsi="Times New Roman" w:cs="Times New Roman"/>
          <w:sz w:val="28"/>
          <w:szCs w:val="28"/>
          <w:lang w:val="uk-UA"/>
        </w:rPr>
        <w:t>метою</w:t>
      </w:r>
      <w:r w:rsidRPr="005906A3">
        <w:rPr>
          <w:rFonts w:ascii="Times New Roman" w:hAnsi="Times New Roman" w:cs="Times New Roman"/>
          <w:sz w:val="28"/>
          <w:szCs w:val="28"/>
          <w:lang w:val="uk-UA"/>
        </w:rPr>
        <w:t xml:space="preserve"> розробки регуляторного акта є врегулювання взаємовідносин, що виникають між обласною державною адміністрацією та розповсюджувачами зовнішньої реклами, які передбачають її розміщення поза межами населених пунктів</w:t>
      </w:r>
      <w:r w:rsidR="00E44F0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906A3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вимог чинного законодавства.</w:t>
      </w:r>
    </w:p>
    <w:p w:rsidR="00EE300F" w:rsidRPr="005906A3" w:rsidRDefault="00EE300F" w:rsidP="00EE30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E300F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EE300F" w:rsidRPr="00EE300F" w:rsidRDefault="00EE300F" w:rsidP="005906A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E300F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EE300F">
        <w:rPr>
          <w:rFonts w:ascii="Times New Roman" w:hAnsi="Times New Roman" w:cs="Times New Roman"/>
          <w:b/>
          <w:bCs/>
          <w:sz w:val="28"/>
          <w:szCs w:val="28"/>
        </w:rPr>
        <w:t>Визначення</w:t>
      </w:r>
      <w:proofErr w:type="spellEnd"/>
      <w:r w:rsidRPr="00EE300F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EE300F">
        <w:rPr>
          <w:rFonts w:ascii="Times New Roman" w:hAnsi="Times New Roman" w:cs="Times New Roman"/>
          <w:b/>
          <w:bCs/>
          <w:sz w:val="28"/>
          <w:szCs w:val="28"/>
        </w:rPr>
        <w:t>оцінка</w:t>
      </w:r>
      <w:proofErr w:type="spellEnd"/>
      <w:r w:rsidRPr="00EE3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300F">
        <w:rPr>
          <w:rFonts w:ascii="Times New Roman" w:hAnsi="Times New Roman" w:cs="Times New Roman"/>
          <w:b/>
          <w:bCs/>
          <w:sz w:val="28"/>
          <w:szCs w:val="28"/>
        </w:rPr>
        <w:t>альтернативних</w:t>
      </w:r>
      <w:proofErr w:type="spellEnd"/>
      <w:r w:rsidRPr="00EE3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300F">
        <w:rPr>
          <w:rFonts w:ascii="Times New Roman" w:hAnsi="Times New Roman" w:cs="Times New Roman"/>
          <w:b/>
          <w:bCs/>
          <w:sz w:val="28"/>
          <w:szCs w:val="28"/>
        </w:rPr>
        <w:t>способів</w:t>
      </w:r>
      <w:proofErr w:type="spellEnd"/>
      <w:r w:rsidRPr="00EE3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300F">
        <w:rPr>
          <w:rFonts w:ascii="Times New Roman" w:hAnsi="Times New Roman" w:cs="Times New Roman"/>
          <w:b/>
          <w:bCs/>
          <w:sz w:val="28"/>
          <w:szCs w:val="28"/>
        </w:rPr>
        <w:t>досягнення</w:t>
      </w:r>
      <w:proofErr w:type="spellEnd"/>
      <w:r w:rsidRPr="00EE3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300F">
        <w:rPr>
          <w:rFonts w:ascii="Times New Roman" w:hAnsi="Times New Roman" w:cs="Times New Roman"/>
          <w:b/>
          <w:bCs/>
          <w:sz w:val="28"/>
          <w:szCs w:val="28"/>
        </w:rPr>
        <w:t>встановлених</w:t>
      </w:r>
      <w:proofErr w:type="spellEnd"/>
      <w:r w:rsidRPr="00EE3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300F">
        <w:rPr>
          <w:rFonts w:ascii="Times New Roman" w:hAnsi="Times New Roman" w:cs="Times New Roman"/>
          <w:b/>
          <w:bCs/>
          <w:sz w:val="28"/>
          <w:szCs w:val="28"/>
        </w:rPr>
        <w:t>цілей</w:t>
      </w:r>
      <w:proofErr w:type="spellEnd"/>
    </w:p>
    <w:p w:rsidR="00EE300F" w:rsidRPr="00EE300F" w:rsidRDefault="00EE300F" w:rsidP="00EE30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00F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EE300F" w:rsidRPr="00EE300F" w:rsidRDefault="00EE300F" w:rsidP="005906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00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E300F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EE3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00F">
        <w:rPr>
          <w:rFonts w:ascii="Times New Roman" w:hAnsi="Times New Roman" w:cs="Times New Roman"/>
          <w:sz w:val="28"/>
          <w:szCs w:val="28"/>
        </w:rPr>
        <w:t>альтернативи</w:t>
      </w:r>
      <w:proofErr w:type="spellEnd"/>
      <w:r w:rsidRPr="00EE300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E300F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EE3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00F">
        <w:rPr>
          <w:rFonts w:ascii="Times New Roman" w:hAnsi="Times New Roman" w:cs="Times New Roman"/>
          <w:sz w:val="28"/>
          <w:szCs w:val="28"/>
        </w:rPr>
        <w:t>встановлених</w:t>
      </w:r>
      <w:proofErr w:type="spellEnd"/>
      <w:r w:rsidRPr="00EE3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00F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EE3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00F">
        <w:rPr>
          <w:rFonts w:ascii="Times New Roman" w:hAnsi="Times New Roman" w:cs="Times New Roman"/>
          <w:sz w:val="28"/>
          <w:szCs w:val="28"/>
        </w:rPr>
        <w:t>розглянуто</w:t>
      </w:r>
      <w:proofErr w:type="spellEnd"/>
      <w:r w:rsidRPr="00EE300F">
        <w:rPr>
          <w:rFonts w:ascii="Times New Roman" w:hAnsi="Times New Roman" w:cs="Times New Roman"/>
          <w:sz w:val="28"/>
          <w:szCs w:val="28"/>
        </w:rPr>
        <w:t xml:space="preserve"> два </w:t>
      </w:r>
      <w:proofErr w:type="spellStart"/>
      <w:r w:rsidRPr="00EE300F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EE300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5"/>
        <w:gridCol w:w="5925"/>
      </w:tblGrid>
      <w:tr w:rsidR="00EE300F" w:rsidRPr="00EE300F" w:rsidTr="005906A3">
        <w:trPr>
          <w:tblCellSpacing w:w="0" w:type="dxa"/>
        </w:trPr>
        <w:tc>
          <w:tcPr>
            <w:tcW w:w="3645" w:type="dxa"/>
            <w:hideMark/>
          </w:tcPr>
          <w:p w:rsidR="00FE62C3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</w:t>
            </w:r>
            <w:proofErr w:type="spellStart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альтернативи</w:t>
            </w:r>
            <w:proofErr w:type="spellEnd"/>
          </w:p>
        </w:tc>
        <w:tc>
          <w:tcPr>
            <w:tcW w:w="5925" w:type="dxa"/>
            <w:hideMark/>
          </w:tcPr>
          <w:p w:rsidR="00FE62C3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</w:t>
            </w:r>
            <w:proofErr w:type="spellEnd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альтернативи</w:t>
            </w:r>
            <w:proofErr w:type="spellEnd"/>
          </w:p>
        </w:tc>
      </w:tr>
      <w:tr w:rsidR="00EE300F" w:rsidRPr="00EE300F" w:rsidTr="005906A3">
        <w:trPr>
          <w:tblCellSpacing w:w="0" w:type="dxa"/>
        </w:trPr>
        <w:tc>
          <w:tcPr>
            <w:tcW w:w="3645" w:type="dxa"/>
            <w:hideMark/>
          </w:tcPr>
          <w:p w:rsidR="005906A3" w:rsidRDefault="00EE300F" w:rsidP="00590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30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Альтернатива 1</w:t>
            </w:r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300F" w:rsidRPr="00EE300F" w:rsidRDefault="00EE300F" w:rsidP="00590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00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Відсутність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неприйняття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регуляторного акта </w:t>
            </w:r>
          </w:p>
        </w:tc>
        <w:tc>
          <w:tcPr>
            <w:tcW w:w="5925" w:type="dxa"/>
            <w:hideMark/>
          </w:tcPr>
          <w:p w:rsidR="00EE300F" w:rsidRPr="00EE300F" w:rsidRDefault="00EE300F" w:rsidP="00E44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6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Неприйняття Порядку надання дозволів, що призведе до порушення вимог чинного законодавства України. Також матиме місце відсутність чіткого встановленого порядку надання дозволів на розміщення зовнішньої реклами поза межами населених пунктів </w:t>
            </w:r>
            <w:r w:rsidR="00E44F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Херсонської</w:t>
            </w:r>
            <w:r w:rsidRPr="005906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області</w:t>
            </w:r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EE300F" w:rsidRPr="00EE300F" w:rsidTr="005906A3">
        <w:trPr>
          <w:tblCellSpacing w:w="0" w:type="dxa"/>
        </w:trPr>
        <w:tc>
          <w:tcPr>
            <w:tcW w:w="3645" w:type="dxa"/>
            <w:hideMark/>
          </w:tcPr>
          <w:p w:rsidR="005906A3" w:rsidRDefault="00EE300F" w:rsidP="00590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30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Альтернатива 2</w:t>
            </w:r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300F" w:rsidRPr="00EE300F" w:rsidRDefault="00EE300F" w:rsidP="00590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00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Запровадження</w:t>
            </w:r>
            <w:proofErr w:type="spellEnd"/>
            <w:r w:rsidR="005906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</w:t>
            </w:r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прийняття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регуляторного акта </w:t>
            </w:r>
          </w:p>
        </w:tc>
        <w:tc>
          <w:tcPr>
            <w:tcW w:w="5925" w:type="dxa"/>
            <w:hideMark/>
          </w:tcPr>
          <w:p w:rsidR="00EE300F" w:rsidRPr="005906A3" w:rsidRDefault="00EE300F" w:rsidP="00E44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06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Прийняття регуляторного акта надасть можливість запровадити єдиний Порядок надання дозволів на розміщення зовнішньої реклами поза межами населених пунктів </w:t>
            </w:r>
            <w:r w:rsidR="00E44F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Херсонської</w:t>
            </w:r>
            <w:r w:rsidRPr="005906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області, які забезпечать досягнення визначених цілей державного  регулювання. </w:t>
            </w:r>
          </w:p>
        </w:tc>
      </w:tr>
    </w:tbl>
    <w:p w:rsidR="005906A3" w:rsidRDefault="005906A3" w:rsidP="00EE30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906A3" w:rsidRDefault="005906A3" w:rsidP="00EE30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906A3" w:rsidRDefault="005906A3" w:rsidP="00EE30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906A3" w:rsidRDefault="005906A3" w:rsidP="00EE30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E300F" w:rsidRPr="00EE300F" w:rsidRDefault="00EE300F" w:rsidP="00EE30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E300F">
        <w:rPr>
          <w:rFonts w:ascii="Times New Roman" w:hAnsi="Times New Roman" w:cs="Times New Roman"/>
          <w:b/>
          <w:bCs/>
          <w:sz w:val="28"/>
          <w:szCs w:val="28"/>
        </w:rPr>
        <w:t>Оцінка</w:t>
      </w:r>
      <w:proofErr w:type="spellEnd"/>
      <w:r w:rsidRPr="00EE3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300F">
        <w:rPr>
          <w:rFonts w:ascii="Times New Roman" w:hAnsi="Times New Roman" w:cs="Times New Roman"/>
          <w:b/>
          <w:bCs/>
          <w:sz w:val="28"/>
          <w:szCs w:val="28"/>
        </w:rPr>
        <w:t>впливу</w:t>
      </w:r>
      <w:proofErr w:type="spellEnd"/>
      <w:r w:rsidRPr="00EE300F">
        <w:rPr>
          <w:rFonts w:ascii="Times New Roman" w:hAnsi="Times New Roman" w:cs="Times New Roman"/>
          <w:b/>
          <w:bCs/>
          <w:sz w:val="28"/>
          <w:szCs w:val="28"/>
        </w:rPr>
        <w:t xml:space="preserve"> на сферу </w:t>
      </w:r>
      <w:proofErr w:type="spellStart"/>
      <w:r w:rsidRPr="00EE300F">
        <w:rPr>
          <w:rFonts w:ascii="Times New Roman" w:hAnsi="Times New Roman" w:cs="Times New Roman"/>
          <w:b/>
          <w:bCs/>
          <w:sz w:val="28"/>
          <w:szCs w:val="28"/>
        </w:rPr>
        <w:t>інтересів</w:t>
      </w:r>
      <w:proofErr w:type="spellEnd"/>
      <w:r w:rsidRPr="00EE3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300F">
        <w:rPr>
          <w:rFonts w:ascii="Times New Roman" w:hAnsi="Times New Roman" w:cs="Times New Roman"/>
          <w:b/>
          <w:bCs/>
          <w:sz w:val="28"/>
          <w:szCs w:val="28"/>
        </w:rPr>
        <w:t>держави</w:t>
      </w:r>
      <w:proofErr w:type="spellEnd"/>
    </w:p>
    <w:p w:rsidR="00EE300F" w:rsidRPr="00EE300F" w:rsidRDefault="00EE300F" w:rsidP="00EE30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00F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3975"/>
        <w:gridCol w:w="2940"/>
      </w:tblGrid>
      <w:tr w:rsidR="00EE300F" w:rsidRPr="00EE300F" w:rsidTr="005906A3">
        <w:trPr>
          <w:tblCellSpacing w:w="0" w:type="dxa"/>
        </w:trPr>
        <w:tc>
          <w:tcPr>
            <w:tcW w:w="2655" w:type="dxa"/>
            <w:hideMark/>
          </w:tcPr>
          <w:p w:rsidR="00FE62C3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</w:t>
            </w:r>
            <w:proofErr w:type="spellStart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альтернативи</w:t>
            </w:r>
            <w:proofErr w:type="spellEnd"/>
          </w:p>
        </w:tc>
        <w:tc>
          <w:tcPr>
            <w:tcW w:w="3975" w:type="dxa"/>
            <w:hideMark/>
          </w:tcPr>
          <w:p w:rsidR="00FE62C3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Вигоди</w:t>
            </w:r>
            <w:proofErr w:type="spellEnd"/>
          </w:p>
        </w:tc>
        <w:tc>
          <w:tcPr>
            <w:tcW w:w="2940" w:type="dxa"/>
            <w:hideMark/>
          </w:tcPr>
          <w:p w:rsidR="00FE62C3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Витрати</w:t>
            </w:r>
            <w:proofErr w:type="spellEnd"/>
          </w:p>
        </w:tc>
      </w:tr>
      <w:tr w:rsidR="00EE300F" w:rsidRPr="00EE300F" w:rsidTr="005906A3">
        <w:trPr>
          <w:tblCellSpacing w:w="0" w:type="dxa"/>
        </w:trPr>
        <w:tc>
          <w:tcPr>
            <w:tcW w:w="2655" w:type="dxa"/>
            <w:hideMark/>
          </w:tcPr>
          <w:p w:rsidR="00EE300F" w:rsidRPr="005906A3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06A3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Альтернатива 1</w:t>
            </w:r>
            <w:r w:rsidRPr="005906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906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Відсутність регулювання – неприйняття регуляторного акта </w:t>
            </w:r>
          </w:p>
        </w:tc>
        <w:tc>
          <w:tcPr>
            <w:tcW w:w="3975" w:type="dxa"/>
            <w:hideMark/>
          </w:tcPr>
          <w:p w:rsidR="00FE62C3" w:rsidRPr="005906A3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06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</w:t>
            </w:r>
          </w:p>
        </w:tc>
        <w:tc>
          <w:tcPr>
            <w:tcW w:w="2940" w:type="dxa"/>
            <w:hideMark/>
          </w:tcPr>
          <w:p w:rsidR="00FE62C3" w:rsidRPr="005906A3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06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Порушення вимог чинного законодавства</w:t>
            </w:r>
          </w:p>
        </w:tc>
      </w:tr>
      <w:tr w:rsidR="00EE300F" w:rsidRPr="00DB469E" w:rsidTr="005906A3">
        <w:trPr>
          <w:tblCellSpacing w:w="0" w:type="dxa"/>
        </w:trPr>
        <w:tc>
          <w:tcPr>
            <w:tcW w:w="2655" w:type="dxa"/>
            <w:hideMark/>
          </w:tcPr>
          <w:p w:rsidR="00EE300F" w:rsidRPr="005906A3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06A3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Альтернатива 2</w:t>
            </w:r>
            <w:r w:rsidRPr="005906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906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Запровадження регулювання – прийняття регуляторного акта </w:t>
            </w:r>
          </w:p>
        </w:tc>
        <w:tc>
          <w:tcPr>
            <w:tcW w:w="3975" w:type="dxa"/>
            <w:hideMark/>
          </w:tcPr>
          <w:p w:rsidR="00EE300F" w:rsidRPr="005906A3" w:rsidRDefault="00EE300F" w:rsidP="00FE6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06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FE6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5906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провадження чіткого механізму з видачі дозволів; </w:t>
            </w:r>
            <w:r w:rsidRPr="005906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- </w:t>
            </w:r>
            <w:r w:rsidR="00FE6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5906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порядкування місць та встановлення постійного моніторингу щодо розміщення зовнішньої реклами поза межами населених пунктів; </w:t>
            </w:r>
            <w:r w:rsidRPr="005906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- </w:t>
            </w:r>
            <w:r w:rsidR="00FE6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5906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иконання вимог чинного законодавства </w:t>
            </w:r>
          </w:p>
        </w:tc>
        <w:tc>
          <w:tcPr>
            <w:tcW w:w="2940" w:type="dxa"/>
            <w:hideMark/>
          </w:tcPr>
          <w:p w:rsidR="00EE300F" w:rsidRPr="005906A3" w:rsidRDefault="0075171A" w:rsidP="0075171A">
            <w:pPr>
              <w:spacing w:after="0" w:line="240" w:lineRule="auto"/>
              <w:ind w:left="1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Впровадження даного регуляторного акту не потребує додаткових витрат</w:t>
            </w:r>
          </w:p>
        </w:tc>
      </w:tr>
    </w:tbl>
    <w:p w:rsidR="00EE300F" w:rsidRPr="00DB469E" w:rsidRDefault="00EE300F" w:rsidP="00EE30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E300F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EE300F" w:rsidRPr="00EE300F" w:rsidRDefault="00EE300F" w:rsidP="00EE30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E300F">
        <w:rPr>
          <w:rFonts w:ascii="Times New Roman" w:hAnsi="Times New Roman" w:cs="Times New Roman"/>
          <w:b/>
          <w:bCs/>
          <w:sz w:val="28"/>
          <w:szCs w:val="28"/>
        </w:rPr>
        <w:t>Оцінка</w:t>
      </w:r>
      <w:proofErr w:type="spellEnd"/>
      <w:r w:rsidRPr="00EE3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300F">
        <w:rPr>
          <w:rFonts w:ascii="Times New Roman" w:hAnsi="Times New Roman" w:cs="Times New Roman"/>
          <w:b/>
          <w:bCs/>
          <w:sz w:val="28"/>
          <w:szCs w:val="28"/>
        </w:rPr>
        <w:t>впливу</w:t>
      </w:r>
      <w:proofErr w:type="spellEnd"/>
      <w:r w:rsidRPr="00EE300F">
        <w:rPr>
          <w:rFonts w:ascii="Times New Roman" w:hAnsi="Times New Roman" w:cs="Times New Roman"/>
          <w:b/>
          <w:bCs/>
          <w:sz w:val="28"/>
          <w:szCs w:val="28"/>
        </w:rPr>
        <w:t xml:space="preserve"> на сферу </w:t>
      </w:r>
      <w:proofErr w:type="spellStart"/>
      <w:r w:rsidRPr="00EE300F">
        <w:rPr>
          <w:rFonts w:ascii="Times New Roman" w:hAnsi="Times New Roman" w:cs="Times New Roman"/>
          <w:b/>
          <w:bCs/>
          <w:sz w:val="28"/>
          <w:szCs w:val="28"/>
        </w:rPr>
        <w:t>інтересів</w:t>
      </w:r>
      <w:proofErr w:type="spellEnd"/>
      <w:r w:rsidRPr="00EE3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300F">
        <w:rPr>
          <w:rFonts w:ascii="Times New Roman" w:hAnsi="Times New Roman" w:cs="Times New Roman"/>
          <w:b/>
          <w:bCs/>
          <w:sz w:val="28"/>
          <w:szCs w:val="28"/>
        </w:rPr>
        <w:t>громадян</w:t>
      </w:r>
      <w:proofErr w:type="spellEnd"/>
    </w:p>
    <w:p w:rsidR="00EE300F" w:rsidRPr="00EE300F" w:rsidRDefault="00EE300F" w:rsidP="00EE30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00F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3195"/>
        <w:gridCol w:w="3195"/>
      </w:tblGrid>
      <w:tr w:rsidR="00EE300F" w:rsidRPr="00EE300F" w:rsidTr="00E44F00">
        <w:trPr>
          <w:tblCellSpacing w:w="0" w:type="dxa"/>
        </w:trPr>
        <w:tc>
          <w:tcPr>
            <w:tcW w:w="3195" w:type="dxa"/>
            <w:hideMark/>
          </w:tcPr>
          <w:p w:rsidR="00FE62C3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</w:t>
            </w:r>
            <w:proofErr w:type="spellStart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альтернативи</w:t>
            </w:r>
            <w:proofErr w:type="spellEnd"/>
          </w:p>
        </w:tc>
        <w:tc>
          <w:tcPr>
            <w:tcW w:w="3195" w:type="dxa"/>
            <w:hideMark/>
          </w:tcPr>
          <w:p w:rsidR="00FE62C3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Вигоди</w:t>
            </w:r>
            <w:proofErr w:type="spellEnd"/>
          </w:p>
        </w:tc>
        <w:tc>
          <w:tcPr>
            <w:tcW w:w="3195" w:type="dxa"/>
            <w:hideMark/>
          </w:tcPr>
          <w:p w:rsidR="00FE62C3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Витрати</w:t>
            </w:r>
            <w:proofErr w:type="spellEnd"/>
          </w:p>
        </w:tc>
      </w:tr>
      <w:tr w:rsidR="00EE300F" w:rsidRPr="00EE300F" w:rsidTr="00E44F00">
        <w:trPr>
          <w:tblCellSpacing w:w="0" w:type="dxa"/>
        </w:trPr>
        <w:tc>
          <w:tcPr>
            <w:tcW w:w="3195" w:type="dxa"/>
            <w:hideMark/>
          </w:tcPr>
          <w:p w:rsidR="00EE300F" w:rsidRPr="00EE300F" w:rsidRDefault="00EE300F" w:rsidP="00E4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0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Альтернатива</w:t>
            </w:r>
            <w:r w:rsidR="00E44F0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EE30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300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Відсутність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регулюва</w:t>
            </w:r>
            <w:proofErr w:type="gram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="00FE6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gramEnd"/>
            <w:r w:rsidR="00FE6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неприйняття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регуляторного акта </w:t>
            </w:r>
          </w:p>
        </w:tc>
        <w:tc>
          <w:tcPr>
            <w:tcW w:w="3195" w:type="dxa"/>
            <w:hideMark/>
          </w:tcPr>
          <w:p w:rsidR="00FE62C3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Відсутні</w:t>
            </w:r>
            <w:proofErr w:type="spellEnd"/>
          </w:p>
        </w:tc>
        <w:tc>
          <w:tcPr>
            <w:tcW w:w="3195" w:type="dxa"/>
            <w:hideMark/>
          </w:tcPr>
          <w:p w:rsidR="00EE300F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Відсутність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товари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E300F" w:rsidRPr="00EE300F" w:rsidTr="00E44F00">
        <w:trPr>
          <w:tblCellSpacing w:w="0" w:type="dxa"/>
        </w:trPr>
        <w:tc>
          <w:tcPr>
            <w:tcW w:w="3195" w:type="dxa"/>
            <w:hideMark/>
          </w:tcPr>
          <w:p w:rsidR="00EE300F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0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Альтернатива 2</w:t>
            </w:r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300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Запровадження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прийняття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регуляторного акта </w:t>
            </w:r>
          </w:p>
        </w:tc>
        <w:tc>
          <w:tcPr>
            <w:tcW w:w="3195" w:type="dxa"/>
            <w:hideMark/>
          </w:tcPr>
          <w:p w:rsidR="00EE300F" w:rsidRPr="00EE300F" w:rsidRDefault="00EE300F" w:rsidP="00FE6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6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E62C3" w:rsidRPr="00FE6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FE6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тримання </w:t>
            </w:r>
            <w:proofErr w:type="spellStart"/>
            <w:r w:rsidRPr="00FE6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</w:t>
            </w:r>
            <w:r w:rsidR="00FE62C3" w:rsidRPr="00FE6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FE6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них</w:t>
            </w:r>
            <w:proofErr w:type="spellEnd"/>
            <w:r w:rsidRPr="00FE6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послуг від </w:t>
            </w:r>
            <w:r w:rsidR="00FE62C3" w:rsidRPr="00FE6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розміщення </w:t>
            </w:r>
            <w:r w:rsidRPr="00FE6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реклами; </w:t>
            </w:r>
            <w:r w:rsidRPr="00FE6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-</w:t>
            </w:r>
            <w:r w:rsidR="00FE62C3" w:rsidRPr="00FE6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Pr="00FE6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провадження </w:t>
            </w:r>
            <w:proofErr w:type="spellStart"/>
            <w:r w:rsidRPr="00FE6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проце</w:t>
            </w:r>
            <w:r w:rsidR="00FE62C3" w:rsidRPr="00FE6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FE6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дури</w:t>
            </w:r>
            <w:proofErr w:type="spellEnd"/>
            <w:r w:rsidRPr="00FE6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видачі дозволів на розміщення зовнішньої реклами поза межами населених пунктів </w:t>
            </w:r>
            <w:r w:rsidR="00FE62C3" w:rsidRPr="00FE6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Херсонської </w:t>
            </w:r>
            <w:r w:rsidRPr="00FE6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області. </w:t>
            </w:r>
            <w:r w:rsidRPr="00FE6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-  </w:t>
            </w:r>
            <w:r w:rsidR="00FE62C3" w:rsidRPr="00FE6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FE6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рахування вимог безпеки дорожнього руху при розміщенні зовнішньої реклами поза межами населених пункті</w:t>
            </w:r>
            <w:proofErr w:type="gramStart"/>
            <w:r w:rsidRPr="00FE6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gramEnd"/>
            <w:r w:rsidRPr="00FE6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5" w:type="dxa"/>
            <w:hideMark/>
          </w:tcPr>
          <w:p w:rsidR="00FE62C3" w:rsidRPr="00EE300F" w:rsidRDefault="00FE62C3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="00EE300F" w:rsidRPr="00EE300F">
              <w:rPr>
                <w:rFonts w:ascii="Times New Roman" w:hAnsi="Times New Roman" w:cs="Times New Roman"/>
                <w:sz w:val="28"/>
                <w:szCs w:val="28"/>
              </w:rPr>
              <w:t>Відсутні</w:t>
            </w:r>
            <w:proofErr w:type="spellEnd"/>
          </w:p>
        </w:tc>
      </w:tr>
    </w:tbl>
    <w:p w:rsidR="00FE62C3" w:rsidRDefault="00FE62C3" w:rsidP="00EE30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E62C3" w:rsidRDefault="00FE62C3" w:rsidP="00EE30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E62C3" w:rsidRDefault="00FE62C3" w:rsidP="00EE30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E62C3" w:rsidRDefault="00FE62C3" w:rsidP="00EE30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E300F" w:rsidRPr="00EE300F" w:rsidRDefault="00EE300F" w:rsidP="00EE30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E300F">
        <w:rPr>
          <w:rFonts w:ascii="Times New Roman" w:hAnsi="Times New Roman" w:cs="Times New Roman"/>
          <w:b/>
          <w:bCs/>
          <w:sz w:val="28"/>
          <w:szCs w:val="28"/>
        </w:rPr>
        <w:t>Оцінка</w:t>
      </w:r>
      <w:proofErr w:type="spellEnd"/>
      <w:r w:rsidRPr="00EE3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300F">
        <w:rPr>
          <w:rFonts w:ascii="Times New Roman" w:hAnsi="Times New Roman" w:cs="Times New Roman"/>
          <w:b/>
          <w:bCs/>
          <w:sz w:val="28"/>
          <w:szCs w:val="28"/>
        </w:rPr>
        <w:t>впливу</w:t>
      </w:r>
      <w:proofErr w:type="spellEnd"/>
      <w:r w:rsidRPr="00EE300F">
        <w:rPr>
          <w:rFonts w:ascii="Times New Roman" w:hAnsi="Times New Roman" w:cs="Times New Roman"/>
          <w:b/>
          <w:bCs/>
          <w:sz w:val="28"/>
          <w:szCs w:val="28"/>
        </w:rPr>
        <w:t xml:space="preserve"> на сферу </w:t>
      </w:r>
      <w:proofErr w:type="spellStart"/>
      <w:r w:rsidRPr="00EE300F">
        <w:rPr>
          <w:rFonts w:ascii="Times New Roman" w:hAnsi="Times New Roman" w:cs="Times New Roman"/>
          <w:b/>
          <w:bCs/>
          <w:sz w:val="28"/>
          <w:szCs w:val="28"/>
        </w:rPr>
        <w:t>інтересів</w:t>
      </w:r>
      <w:proofErr w:type="spellEnd"/>
      <w:r w:rsidRPr="00EE3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300F">
        <w:rPr>
          <w:rFonts w:ascii="Times New Roman" w:hAnsi="Times New Roman" w:cs="Times New Roman"/>
          <w:b/>
          <w:bCs/>
          <w:sz w:val="28"/>
          <w:szCs w:val="28"/>
        </w:rPr>
        <w:t>суб’єктів</w:t>
      </w:r>
      <w:proofErr w:type="spellEnd"/>
      <w:r w:rsidRPr="00EE3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300F">
        <w:rPr>
          <w:rFonts w:ascii="Times New Roman" w:hAnsi="Times New Roman" w:cs="Times New Roman"/>
          <w:b/>
          <w:bCs/>
          <w:sz w:val="28"/>
          <w:szCs w:val="28"/>
        </w:rPr>
        <w:t>господарювання</w:t>
      </w:r>
      <w:proofErr w:type="spellEnd"/>
    </w:p>
    <w:p w:rsidR="00EE300F" w:rsidRPr="00EE300F" w:rsidRDefault="00EE300F" w:rsidP="00EE30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00F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855"/>
        <w:gridCol w:w="1140"/>
        <w:gridCol w:w="1230"/>
        <w:gridCol w:w="81"/>
        <w:gridCol w:w="660"/>
        <w:gridCol w:w="1290"/>
        <w:gridCol w:w="990"/>
      </w:tblGrid>
      <w:tr w:rsidR="00EE300F" w:rsidRPr="00EE300F" w:rsidTr="004C66E9">
        <w:trPr>
          <w:tblCellSpacing w:w="0" w:type="dxa"/>
        </w:trPr>
        <w:tc>
          <w:tcPr>
            <w:tcW w:w="4080" w:type="dxa"/>
            <w:gridSpan w:val="2"/>
            <w:hideMark/>
          </w:tcPr>
          <w:p w:rsidR="00FE62C3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Показник</w:t>
            </w:r>
            <w:proofErr w:type="spellEnd"/>
          </w:p>
        </w:tc>
        <w:tc>
          <w:tcPr>
            <w:tcW w:w="1140" w:type="dxa"/>
            <w:hideMark/>
          </w:tcPr>
          <w:p w:rsidR="00FE62C3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Великі</w:t>
            </w:r>
            <w:proofErr w:type="spellEnd"/>
          </w:p>
        </w:tc>
        <w:tc>
          <w:tcPr>
            <w:tcW w:w="1230" w:type="dxa"/>
            <w:hideMark/>
          </w:tcPr>
          <w:p w:rsidR="00FE62C3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Середні</w:t>
            </w:r>
            <w:proofErr w:type="spellEnd"/>
          </w:p>
        </w:tc>
        <w:tc>
          <w:tcPr>
            <w:tcW w:w="741" w:type="dxa"/>
            <w:gridSpan w:val="2"/>
            <w:hideMark/>
          </w:tcPr>
          <w:p w:rsidR="00FE62C3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Малі</w:t>
            </w:r>
            <w:proofErr w:type="spellEnd"/>
          </w:p>
        </w:tc>
        <w:tc>
          <w:tcPr>
            <w:tcW w:w="1290" w:type="dxa"/>
            <w:hideMark/>
          </w:tcPr>
          <w:p w:rsidR="00FE62C3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Мікро</w:t>
            </w:r>
            <w:proofErr w:type="spellEnd"/>
          </w:p>
        </w:tc>
        <w:tc>
          <w:tcPr>
            <w:tcW w:w="990" w:type="dxa"/>
            <w:hideMark/>
          </w:tcPr>
          <w:p w:rsidR="00FE62C3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Разом</w:t>
            </w:r>
          </w:p>
        </w:tc>
      </w:tr>
      <w:tr w:rsidR="00EE300F" w:rsidRPr="00EE300F" w:rsidTr="004C66E9">
        <w:trPr>
          <w:tblCellSpacing w:w="0" w:type="dxa"/>
        </w:trPr>
        <w:tc>
          <w:tcPr>
            <w:tcW w:w="4080" w:type="dxa"/>
            <w:gridSpan w:val="2"/>
            <w:hideMark/>
          </w:tcPr>
          <w:p w:rsidR="00EE300F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суб’єктів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господарювання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підпадають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ію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одиниць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40" w:type="dxa"/>
            <w:hideMark/>
          </w:tcPr>
          <w:p w:rsidR="00EE300F" w:rsidRPr="00FE62C3" w:rsidRDefault="00FE62C3" w:rsidP="00F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30" w:type="dxa"/>
            <w:hideMark/>
          </w:tcPr>
          <w:p w:rsidR="00EE300F" w:rsidRPr="00FE62C3" w:rsidRDefault="00FE62C3" w:rsidP="00F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41" w:type="dxa"/>
            <w:gridSpan w:val="2"/>
            <w:hideMark/>
          </w:tcPr>
          <w:p w:rsidR="00EE300F" w:rsidRPr="00EE300F" w:rsidRDefault="00FE62C3" w:rsidP="00F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290" w:type="dxa"/>
            <w:hideMark/>
          </w:tcPr>
          <w:p w:rsidR="00EE300F" w:rsidRPr="00FE62C3" w:rsidRDefault="00FE62C3" w:rsidP="00F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0" w:type="dxa"/>
            <w:hideMark/>
          </w:tcPr>
          <w:p w:rsidR="00EE300F" w:rsidRPr="00EE300F" w:rsidRDefault="00FE62C3" w:rsidP="00F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EE300F" w:rsidRPr="00EE30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E300F" w:rsidRPr="00EE300F" w:rsidTr="004C66E9">
        <w:trPr>
          <w:tblCellSpacing w:w="0" w:type="dxa"/>
        </w:trPr>
        <w:tc>
          <w:tcPr>
            <w:tcW w:w="4080" w:type="dxa"/>
            <w:gridSpan w:val="2"/>
            <w:hideMark/>
          </w:tcPr>
          <w:p w:rsidR="00EE300F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Питома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вага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групи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загальній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кількості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відсоткі</w:t>
            </w:r>
            <w:proofErr w:type="gram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40" w:type="dxa"/>
            <w:hideMark/>
          </w:tcPr>
          <w:p w:rsidR="00EE300F" w:rsidRPr="00FE62C3" w:rsidRDefault="00FE62C3" w:rsidP="00F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230" w:type="dxa"/>
            <w:hideMark/>
          </w:tcPr>
          <w:p w:rsidR="00EE300F" w:rsidRPr="00EE300F" w:rsidRDefault="00FE62C3" w:rsidP="00F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741" w:type="dxa"/>
            <w:gridSpan w:val="2"/>
            <w:hideMark/>
          </w:tcPr>
          <w:p w:rsidR="00EE300F" w:rsidRPr="00FE62C3" w:rsidRDefault="00FE62C3" w:rsidP="00F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1290" w:type="dxa"/>
            <w:hideMark/>
          </w:tcPr>
          <w:p w:rsidR="00EE300F" w:rsidRPr="00EE300F" w:rsidRDefault="00EE300F" w:rsidP="00F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0" w:type="dxa"/>
            <w:hideMark/>
          </w:tcPr>
          <w:p w:rsidR="00EE300F" w:rsidRPr="00DB469E" w:rsidRDefault="00DB469E" w:rsidP="00F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EE300F" w:rsidRPr="00EE300F" w:rsidTr="004C66E9">
        <w:trPr>
          <w:tblCellSpacing w:w="0" w:type="dxa"/>
        </w:trPr>
        <w:tc>
          <w:tcPr>
            <w:tcW w:w="9471" w:type="dxa"/>
            <w:gridSpan w:val="8"/>
            <w:hideMark/>
          </w:tcPr>
          <w:p w:rsidR="00EE300F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0F" w:rsidRPr="00EE300F" w:rsidTr="004C66E9">
        <w:trPr>
          <w:tblCellSpacing w:w="0" w:type="dxa"/>
        </w:trPr>
        <w:tc>
          <w:tcPr>
            <w:tcW w:w="3225" w:type="dxa"/>
            <w:hideMark/>
          </w:tcPr>
          <w:p w:rsidR="00FE62C3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</w:t>
            </w:r>
            <w:proofErr w:type="spellStart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альтернативи</w:t>
            </w:r>
            <w:proofErr w:type="spellEnd"/>
          </w:p>
        </w:tc>
        <w:tc>
          <w:tcPr>
            <w:tcW w:w="3306" w:type="dxa"/>
            <w:gridSpan w:val="4"/>
            <w:hideMark/>
          </w:tcPr>
          <w:p w:rsidR="00FE62C3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Вигоди</w:t>
            </w:r>
            <w:proofErr w:type="spellEnd"/>
          </w:p>
        </w:tc>
        <w:tc>
          <w:tcPr>
            <w:tcW w:w="2940" w:type="dxa"/>
            <w:gridSpan w:val="3"/>
            <w:hideMark/>
          </w:tcPr>
          <w:p w:rsidR="00FE62C3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Витрати</w:t>
            </w:r>
            <w:proofErr w:type="spellEnd"/>
          </w:p>
        </w:tc>
      </w:tr>
      <w:tr w:rsidR="00EE300F" w:rsidRPr="00EE300F" w:rsidTr="004C66E9">
        <w:trPr>
          <w:tblCellSpacing w:w="0" w:type="dxa"/>
        </w:trPr>
        <w:tc>
          <w:tcPr>
            <w:tcW w:w="3225" w:type="dxa"/>
            <w:hideMark/>
          </w:tcPr>
          <w:p w:rsidR="00EE300F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0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Альтернатива 1</w:t>
            </w:r>
            <w:proofErr w:type="gram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300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ідсутність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6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неприйняття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регуляторного акта </w:t>
            </w:r>
          </w:p>
        </w:tc>
        <w:tc>
          <w:tcPr>
            <w:tcW w:w="3306" w:type="dxa"/>
            <w:gridSpan w:val="4"/>
            <w:hideMark/>
          </w:tcPr>
          <w:p w:rsidR="00FE62C3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Відсутні</w:t>
            </w:r>
            <w:proofErr w:type="spellEnd"/>
          </w:p>
        </w:tc>
        <w:tc>
          <w:tcPr>
            <w:tcW w:w="2940" w:type="dxa"/>
            <w:gridSpan w:val="3"/>
            <w:hideMark/>
          </w:tcPr>
          <w:p w:rsidR="00EE300F" w:rsidRPr="00EE300F" w:rsidRDefault="00EE300F" w:rsidP="004C66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Негативний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вплив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суб’єктів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господарювання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C6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можлив</w:t>
            </w:r>
            <w:proofErr w:type="spellEnd"/>
            <w:r w:rsidR="004C6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r w:rsidR="004C6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розміщення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зовнішньої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реклами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поза</w:t>
            </w:r>
            <w:r w:rsidR="004C66E9">
              <w:rPr>
                <w:rFonts w:ascii="Times New Roman" w:hAnsi="Times New Roman" w:cs="Times New Roman"/>
                <w:sz w:val="28"/>
                <w:szCs w:val="28"/>
              </w:rPr>
              <w:t xml:space="preserve"> межами </w:t>
            </w:r>
            <w:proofErr w:type="spellStart"/>
            <w:r w:rsidR="004C66E9">
              <w:rPr>
                <w:rFonts w:ascii="Times New Roman" w:hAnsi="Times New Roman" w:cs="Times New Roman"/>
                <w:sz w:val="28"/>
                <w:szCs w:val="28"/>
              </w:rPr>
              <w:t>населених</w:t>
            </w:r>
            <w:proofErr w:type="spellEnd"/>
            <w:r w:rsidR="004C66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66E9">
              <w:rPr>
                <w:rFonts w:ascii="Times New Roman" w:hAnsi="Times New Roman" w:cs="Times New Roman"/>
                <w:sz w:val="28"/>
                <w:szCs w:val="28"/>
              </w:rPr>
              <w:t>пунктів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призведе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зменшення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обсягів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продукції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в свою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чергу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негативно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вплине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4C6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економіки області</w:t>
            </w:r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E300F" w:rsidRPr="00EE300F" w:rsidTr="004C66E9">
        <w:trPr>
          <w:tblCellSpacing w:w="0" w:type="dxa"/>
        </w:trPr>
        <w:tc>
          <w:tcPr>
            <w:tcW w:w="3225" w:type="dxa"/>
            <w:hideMark/>
          </w:tcPr>
          <w:p w:rsidR="00EE300F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0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Альтернатива 2</w:t>
            </w:r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300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Запровадження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прийняття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регуляторного акта </w:t>
            </w:r>
          </w:p>
        </w:tc>
        <w:tc>
          <w:tcPr>
            <w:tcW w:w="3306" w:type="dxa"/>
            <w:gridSpan w:val="4"/>
            <w:hideMark/>
          </w:tcPr>
          <w:p w:rsidR="00EE300F" w:rsidRPr="004C66E9" w:rsidRDefault="00FE62C3" w:rsidP="004C66E9">
            <w:pPr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4C6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FE6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отримання інформаційних послуг від розміщення реклами; </w:t>
            </w:r>
            <w:r w:rsidRPr="00FE6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-</w:t>
            </w:r>
            <w:r w:rsidR="004C6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FE6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впровадження процедури видачі дозволів на розміщення зовнішньої реклами поза межами населених пунктів Херсонської області</w:t>
            </w:r>
            <w:r w:rsidR="004C6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FE6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E6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-</w:t>
            </w:r>
            <w:r w:rsidR="004C6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FE6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врахування вимог безпеки дорожнього руху при розміщенні зовнішньої реклами поза межами населених пунктів.</w:t>
            </w:r>
          </w:p>
        </w:tc>
        <w:tc>
          <w:tcPr>
            <w:tcW w:w="2940" w:type="dxa"/>
            <w:gridSpan w:val="3"/>
            <w:hideMark/>
          </w:tcPr>
          <w:p w:rsidR="00EE300F" w:rsidRPr="0075171A" w:rsidRDefault="0075171A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Розрахунки витрат наведені у тесті малого підприємництва</w:t>
            </w:r>
          </w:p>
        </w:tc>
      </w:tr>
      <w:tr w:rsidR="00EE300F" w:rsidRPr="00EE300F" w:rsidTr="004C66E9">
        <w:trPr>
          <w:tblCellSpacing w:w="0" w:type="dxa"/>
        </w:trPr>
        <w:tc>
          <w:tcPr>
            <w:tcW w:w="3225" w:type="dxa"/>
            <w:vAlign w:val="center"/>
            <w:hideMark/>
          </w:tcPr>
          <w:p w:rsidR="00EE300F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  <w:hideMark/>
          </w:tcPr>
          <w:p w:rsidR="00EE300F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  <w:hideMark/>
          </w:tcPr>
          <w:p w:rsidR="00EE300F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  <w:hideMark/>
          </w:tcPr>
          <w:p w:rsidR="00EE300F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" w:type="dxa"/>
            <w:vAlign w:val="center"/>
            <w:hideMark/>
          </w:tcPr>
          <w:p w:rsidR="00EE300F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  <w:hideMark/>
          </w:tcPr>
          <w:p w:rsidR="00EE300F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  <w:hideMark/>
          </w:tcPr>
          <w:p w:rsidR="00EE300F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  <w:hideMark/>
          </w:tcPr>
          <w:p w:rsidR="00EE300F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300F" w:rsidRPr="00321B7B" w:rsidRDefault="00EE300F" w:rsidP="00321B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B7B">
        <w:rPr>
          <w:rFonts w:ascii="Times New Roman" w:hAnsi="Times New Roman" w:cs="Times New Roman"/>
          <w:sz w:val="28"/>
          <w:szCs w:val="28"/>
          <w:lang w:val="uk-UA"/>
        </w:rPr>
        <w:t>         Перша альтернатива не може бути прийнятою, оскільки це не дасть можлив</w:t>
      </w:r>
      <w:r w:rsidR="004C66E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321B7B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4C66E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21B7B">
        <w:rPr>
          <w:rFonts w:ascii="Times New Roman" w:hAnsi="Times New Roman" w:cs="Times New Roman"/>
          <w:sz w:val="28"/>
          <w:szCs w:val="28"/>
          <w:lang w:val="uk-UA"/>
        </w:rPr>
        <w:t xml:space="preserve"> суб’єктам господарювання у сфері реклами отримати на законних підставах дозвіл на розміщення зовнішньої реклами поза межами населених пунктів.</w:t>
      </w:r>
    </w:p>
    <w:p w:rsidR="00EE300F" w:rsidRPr="00321B7B" w:rsidRDefault="00EE300F" w:rsidP="00321B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B7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         Застосування другої альтернативи надасть можливість врегулювання відносин, які виникають у зв’язку з розміщенням зовнішньої реклами поза межами населених пунктів </w:t>
      </w:r>
      <w:r w:rsidR="00FE62C3" w:rsidRPr="00321B7B">
        <w:rPr>
          <w:rFonts w:ascii="Times New Roman" w:hAnsi="Times New Roman" w:cs="Times New Roman"/>
          <w:sz w:val="28"/>
          <w:szCs w:val="28"/>
          <w:lang w:val="uk-UA"/>
        </w:rPr>
        <w:t>Херсонської</w:t>
      </w:r>
      <w:r w:rsidRPr="00321B7B">
        <w:rPr>
          <w:rFonts w:ascii="Times New Roman" w:hAnsi="Times New Roman" w:cs="Times New Roman"/>
          <w:sz w:val="28"/>
          <w:szCs w:val="28"/>
          <w:lang w:val="uk-UA"/>
        </w:rPr>
        <w:t xml:space="preserve"> області та практичної реалізації положень статті 16 Закону України “Про рекламу”.</w:t>
      </w:r>
    </w:p>
    <w:p w:rsidR="00EE300F" w:rsidRPr="00321B7B" w:rsidRDefault="00EE300F" w:rsidP="00321B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B7B">
        <w:rPr>
          <w:rFonts w:ascii="Times New Roman" w:hAnsi="Times New Roman" w:cs="Times New Roman"/>
          <w:sz w:val="28"/>
          <w:szCs w:val="28"/>
          <w:lang w:val="uk-UA"/>
        </w:rPr>
        <w:t>         Затвердження Порядку матиме вплив на продуктивність суб’єктів господарювання, які надають рекламні послуги.</w:t>
      </w:r>
    </w:p>
    <w:p w:rsidR="00FE62C3" w:rsidRDefault="00FE62C3" w:rsidP="00EE30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E300F" w:rsidRPr="00EE300F" w:rsidRDefault="00EE300F" w:rsidP="00AB6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00F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EE300F">
        <w:rPr>
          <w:rFonts w:ascii="Times New Roman" w:hAnsi="Times New Roman" w:cs="Times New Roman"/>
          <w:b/>
          <w:bCs/>
          <w:sz w:val="28"/>
          <w:szCs w:val="28"/>
        </w:rPr>
        <w:t>Вибі</w:t>
      </w:r>
      <w:proofErr w:type="gramStart"/>
      <w:r w:rsidRPr="00EE300F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spellEnd"/>
      <w:proofErr w:type="gramEnd"/>
      <w:r w:rsidRPr="00EE3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300F">
        <w:rPr>
          <w:rFonts w:ascii="Times New Roman" w:hAnsi="Times New Roman" w:cs="Times New Roman"/>
          <w:b/>
          <w:bCs/>
          <w:sz w:val="28"/>
          <w:szCs w:val="28"/>
        </w:rPr>
        <w:t>найбільш</w:t>
      </w:r>
      <w:proofErr w:type="spellEnd"/>
      <w:r w:rsidRPr="00EE300F">
        <w:rPr>
          <w:rFonts w:ascii="Times New Roman" w:hAnsi="Times New Roman" w:cs="Times New Roman"/>
          <w:b/>
          <w:bCs/>
          <w:sz w:val="28"/>
          <w:szCs w:val="28"/>
        </w:rPr>
        <w:t xml:space="preserve"> оптимального альтернативного способу</w:t>
      </w:r>
    </w:p>
    <w:p w:rsidR="00EE300F" w:rsidRPr="00EE300F" w:rsidRDefault="00EE300F" w:rsidP="00AB6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300F">
        <w:rPr>
          <w:rFonts w:ascii="Times New Roman" w:hAnsi="Times New Roman" w:cs="Times New Roman"/>
          <w:b/>
          <w:bCs/>
          <w:sz w:val="28"/>
          <w:szCs w:val="28"/>
        </w:rPr>
        <w:t>досягнення</w:t>
      </w:r>
      <w:proofErr w:type="spellEnd"/>
      <w:r w:rsidRPr="00EE3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300F">
        <w:rPr>
          <w:rFonts w:ascii="Times New Roman" w:hAnsi="Times New Roman" w:cs="Times New Roman"/>
          <w:b/>
          <w:bCs/>
          <w:sz w:val="28"/>
          <w:szCs w:val="28"/>
        </w:rPr>
        <w:t>цілей</w:t>
      </w:r>
      <w:proofErr w:type="spellEnd"/>
    </w:p>
    <w:p w:rsidR="00EE300F" w:rsidRPr="00EE300F" w:rsidRDefault="00EE300F" w:rsidP="00EE30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00F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EE300F" w:rsidRPr="00AB6A1A" w:rsidRDefault="00EE300F" w:rsidP="00AB6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00F">
        <w:rPr>
          <w:rFonts w:ascii="Times New Roman" w:hAnsi="Times New Roman" w:cs="Times New Roman"/>
          <w:sz w:val="28"/>
          <w:szCs w:val="28"/>
        </w:rPr>
        <w:t>   </w:t>
      </w:r>
      <w:r w:rsidR="00321B7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B6A1A">
        <w:rPr>
          <w:rFonts w:ascii="Times New Roman" w:hAnsi="Times New Roman" w:cs="Times New Roman"/>
          <w:sz w:val="28"/>
          <w:szCs w:val="28"/>
          <w:lang w:val="uk-UA"/>
        </w:rPr>
        <w:t>Оцінка ступеня досягнення визначених цілей визначається за чотирибальною системою, де:</w:t>
      </w:r>
    </w:p>
    <w:p w:rsidR="00EE300F" w:rsidRPr="00AB6A1A" w:rsidRDefault="00EE300F" w:rsidP="00321B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A1A">
        <w:rPr>
          <w:rFonts w:ascii="Times New Roman" w:hAnsi="Times New Roman" w:cs="Times New Roman"/>
          <w:sz w:val="28"/>
          <w:szCs w:val="28"/>
          <w:lang w:val="uk-UA"/>
        </w:rPr>
        <w:t>4 – цілі прийняття регуляторного акта, які можуть бути досягнуті повною мірою (проблема більше існувати не буде);</w:t>
      </w:r>
    </w:p>
    <w:p w:rsidR="00EE300F" w:rsidRPr="00AB6A1A" w:rsidRDefault="00EE300F" w:rsidP="00321B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A1A">
        <w:rPr>
          <w:rFonts w:ascii="Times New Roman" w:hAnsi="Times New Roman" w:cs="Times New Roman"/>
          <w:sz w:val="28"/>
          <w:szCs w:val="28"/>
          <w:lang w:val="uk-UA"/>
        </w:rPr>
        <w:t>3 – цілі прийняття регуляторного акта, які можуть бути досягнуті майже  повною мірою (усі важливі аспекти проблеми існувати не будуть);</w:t>
      </w:r>
    </w:p>
    <w:p w:rsidR="00EE300F" w:rsidRPr="00AB6A1A" w:rsidRDefault="00EE300F" w:rsidP="00321B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A1A">
        <w:rPr>
          <w:rFonts w:ascii="Times New Roman" w:hAnsi="Times New Roman" w:cs="Times New Roman"/>
          <w:sz w:val="28"/>
          <w:szCs w:val="28"/>
          <w:lang w:val="uk-UA"/>
        </w:rPr>
        <w:t>2 – цілі прийняття регуляторного акта, які можуть бути досягнуті частково (проблема значно зменшиться, деякі важливі та критичні аспекти проблеми залишаться невирішеними);</w:t>
      </w:r>
    </w:p>
    <w:p w:rsidR="00EE300F" w:rsidRDefault="00EE300F" w:rsidP="00321B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A1A">
        <w:rPr>
          <w:rFonts w:ascii="Times New Roman" w:hAnsi="Times New Roman" w:cs="Times New Roman"/>
          <w:sz w:val="28"/>
          <w:szCs w:val="28"/>
          <w:lang w:val="uk-UA"/>
        </w:rPr>
        <w:t>1 – цілі прийняття регуляторного акта, які не можуть бути досягнуті (проблема продовжує існувати).</w:t>
      </w:r>
    </w:p>
    <w:p w:rsidR="00AB6A1A" w:rsidRPr="00AB6A1A" w:rsidRDefault="00AB6A1A" w:rsidP="00AB6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2265"/>
        <w:gridCol w:w="4650"/>
      </w:tblGrid>
      <w:tr w:rsidR="00EE300F" w:rsidRPr="00EE300F" w:rsidTr="004C66E9">
        <w:trPr>
          <w:tblCellSpacing w:w="0" w:type="dxa"/>
        </w:trPr>
        <w:tc>
          <w:tcPr>
            <w:tcW w:w="2655" w:type="dxa"/>
            <w:hideMark/>
          </w:tcPr>
          <w:p w:rsidR="00FE62C3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Рейтинг </w:t>
            </w:r>
            <w:proofErr w:type="spellStart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результативності</w:t>
            </w:r>
            <w:proofErr w:type="spellEnd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досягнення</w:t>
            </w:r>
            <w:proofErr w:type="spellEnd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цілей</w:t>
            </w:r>
            <w:proofErr w:type="spellEnd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ід</w:t>
            </w:r>
            <w:proofErr w:type="spellEnd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 </w:t>
            </w:r>
            <w:proofErr w:type="spellStart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вирішення</w:t>
            </w:r>
            <w:proofErr w:type="spellEnd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проблеми</w:t>
            </w:r>
            <w:proofErr w:type="spellEnd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265" w:type="dxa"/>
            <w:hideMark/>
          </w:tcPr>
          <w:p w:rsidR="00FE62C3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Бал </w:t>
            </w:r>
            <w:proofErr w:type="spellStart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результатив</w:t>
            </w:r>
            <w:proofErr w:type="spellEnd"/>
            <w:r w:rsidR="00321B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  <w:proofErr w:type="spellStart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ності</w:t>
            </w:r>
            <w:proofErr w:type="spellEnd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(за </w:t>
            </w:r>
            <w:proofErr w:type="spellStart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чотирибальною</w:t>
            </w:r>
            <w:proofErr w:type="spellEnd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системою </w:t>
            </w:r>
            <w:proofErr w:type="spellStart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оцінки</w:t>
            </w:r>
            <w:proofErr w:type="spellEnd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650" w:type="dxa"/>
            <w:hideMark/>
          </w:tcPr>
          <w:p w:rsidR="00FE62C3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Коментарі</w:t>
            </w:r>
            <w:proofErr w:type="spellEnd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щодо</w:t>
            </w:r>
            <w:proofErr w:type="spellEnd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присвоєння</w:t>
            </w:r>
            <w:proofErr w:type="spellEnd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відповідного</w:t>
            </w:r>
            <w:proofErr w:type="spellEnd"/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бала</w:t>
            </w:r>
          </w:p>
        </w:tc>
      </w:tr>
      <w:tr w:rsidR="00EE300F" w:rsidRPr="00EE300F" w:rsidTr="004C66E9">
        <w:trPr>
          <w:tblCellSpacing w:w="0" w:type="dxa"/>
        </w:trPr>
        <w:tc>
          <w:tcPr>
            <w:tcW w:w="2655" w:type="dxa"/>
            <w:hideMark/>
          </w:tcPr>
          <w:p w:rsidR="00EE300F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0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Альтернатива 1</w:t>
            </w:r>
            <w:proofErr w:type="gram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300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ідсутність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неприйняття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регуляторного акта </w:t>
            </w:r>
          </w:p>
        </w:tc>
        <w:tc>
          <w:tcPr>
            <w:tcW w:w="2265" w:type="dxa"/>
            <w:vAlign w:val="center"/>
            <w:hideMark/>
          </w:tcPr>
          <w:p w:rsidR="00FE62C3" w:rsidRPr="00EE300F" w:rsidRDefault="00EE300F" w:rsidP="00321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0" w:type="dxa"/>
            <w:hideMark/>
          </w:tcPr>
          <w:p w:rsidR="00321B7B" w:rsidRDefault="00321B7B" w:rsidP="00321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EE300F" w:rsidRPr="00321B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забезпечує належного виконання чинного законодавства України у сфері надання дозволів на розміщення зовнішньої реклами поза межами населених пунктів</w:t>
            </w:r>
            <w:r w:rsidR="004C6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EE300F" w:rsidRPr="00321B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E300F" w:rsidRPr="00321B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EE300F" w:rsidRPr="00321B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Відсутність чіткого порядку регулювання відносин, які виникають у зв’язку з наданням дозволів на розміщення зовнішньої реклами поза межами населених пунктів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Херсонської </w:t>
            </w:r>
            <w:r w:rsidR="00EE300F" w:rsidRPr="00321B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області. </w:t>
            </w:r>
          </w:p>
          <w:p w:rsidR="00EE300F" w:rsidRPr="00321B7B" w:rsidRDefault="004C66E9" w:rsidP="00321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EE300F" w:rsidRPr="00321B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Проблема </w:t>
            </w:r>
            <w:r w:rsidR="00321B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вирішується</w:t>
            </w:r>
            <w:r w:rsidR="00EE300F" w:rsidRPr="00321B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</w:tr>
      <w:tr w:rsidR="00EE300F" w:rsidRPr="00EE300F" w:rsidTr="004C66E9">
        <w:trPr>
          <w:tblCellSpacing w:w="0" w:type="dxa"/>
        </w:trPr>
        <w:tc>
          <w:tcPr>
            <w:tcW w:w="2655" w:type="dxa"/>
            <w:hideMark/>
          </w:tcPr>
          <w:p w:rsidR="00AB6A1A" w:rsidRPr="00AB6A1A" w:rsidRDefault="00EE300F" w:rsidP="004C66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30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Альтернатива 2</w:t>
            </w:r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300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Запровадження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прийняття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регуляторного акта </w:t>
            </w:r>
          </w:p>
        </w:tc>
        <w:tc>
          <w:tcPr>
            <w:tcW w:w="2265" w:type="dxa"/>
            <w:vAlign w:val="center"/>
            <w:hideMark/>
          </w:tcPr>
          <w:p w:rsidR="00FE62C3" w:rsidRPr="00EE300F" w:rsidRDefault="00EE300F" w:rsidP="00321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50" w:type="dxa"/>
            <w:hideMark/>
          </w:tcPr>
          <w:p w:rsidR="0075171A" w:rsidRPr="0075171A" w:rsidRDefault="004C66E9" w:rsidP="004C6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proofErr w:type="spellStart"/>
            <w:r w:rsidR="00EE300F" w:rsidRPr="00EE300F">
              <w:rPr>
                <w:rFonts w:ascii="Times New Roman" w:hAnsi="Times New Roman" w:cs="Times New Roman"/>
                <w:sz w:val="28"/>
                <w:szCs w:val="28"/>
              </w:rPr>
              <w:t>Встановлення</w:t>
            </w:r>
            <w:proofErr w:type="spellEnd"/>
            <w:r w:rsidR="00EE300F"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300F" w:rsidRPr="00EE300F">
              <w:rPr>
                <w:rFonts w:ascii="Times New Roman" w:hAnsi="Times New Roman" w:cs="Times New Roman"/>
                <w:sz w:val="28"/>
                <w:szCs w:val="28"/>
              </w:rPr>
              <w:t>чіткої</w:t>
            </w:r>
            <w:proofErr w:type="spellEnd"/>
            <w:r w:rsidR="00EE300F"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EE300F" w:rsidRPr="00EE300F">
              <w:rPr>
                <w:rFonts w:ascii="Times New Roman" w:hAnsi="Times New Roman" w:cs="Times New Roman"/>
                <w:sz w:val="28"/>
                <w:szCs w:val="28"/>
              </w:rPr>
              <w:t>прозорої</w:t>
            </w:r>
            <w:proofErr w:type="spellEnd"/>
            <w:r w:rsidR="00EE300F"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300F" w:rsidRPr="00EE300F">
              <w:rPr>
                <w:rFonts w:ascii="Times New Roman" w:hAnsi="Times New Roman" w:cs="Times New Roman"/>
                <w:sz w:val="28"/>
                <w:szCs w:val="28"/>
              </w:rPr>
              <w:t>процедури</w:t>
            </w:r>
            <w:proofErr w:type="spellEnd"/>
            <w:r w:rsidR="00EE300F"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300F" w:rsidRPr="00EE300F">
              <w:rPr>
                <w:rFonts w:ascii="Times New Roman" w:hAnsi="Times New Roman" w:cs="Times New Roman"/>
                <w:sz w:val="28"/>
                <w:szCs w:val="28"/>
              </w:rPr>
              <w:t>розміщення</w:t>
            </w:r>
            <w:proofErr w:type="spellEnd"/>
            <w:r w:rsidR="00EE300F"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300F" w:rsidRPr="00EE300F">
              <w:rPr>
                <w:rFonts w:ascii="Times New Roman" w:hAnsi="Times New Roman" w:cs="Times New Roman"/>
                <w:sz w:val="28"/>
                <w:szCs w:val="28"/>
              </w:rPr>
              <w:t>зовнішньої</w:t>
            </w:r>
            <w:proofErr w:type="spellEnd"/>
            <w:r w:rsidR="00EE300F"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300F" w:rsidRPr="00EE300F">
              <w:rPr>
                <w:rFonts w:ascii="Times New Roman" w:hAnsi="Times New Roman" w:cs="Times New Roman"/>
                <w:sz w:val="28"/>
                <w:szCs w:val="28"/>
              </w:rPr>
              <w:t>реклами</w:t>
            </w:r>
            <w:proofErr w:type="spellEnd"/>
            <w:r w:rsidR="00EE300F"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поза межами </w:t>
            </w:r>
            <w:proofErr w:type="spellStart"/>
            <w:r w:rsidR="00EE300F" w:rsidRPr="00EE300F">
              <w:rPr>
                <w:rFonts w:ascii="Times New Roman" w:hAnsi="Times New Roman" w:cs="Times New Roman"/>
                <w:sz w:val="28"/>
                <w:szCs w:val="28"/>
              </w:rPr>
              <w:t>населених</w:t>
            </w:r>
            <w:proofErr w:type="spellEnd"/>
            <w:r w:rsidR="00EE300F"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300F" w:rsidRPr="00EE300F">
              <w:rPr>
                <w:rFonts w:ascii="Times New Roman" w:hAnsi="Times New Roman" w:cs="Times New Roman"/>
                <w:sz w:val="28"/>
                <w:szCs w:val="28"/>
              </w:rPr>
              <w:t>пунктів</w:t>
            </w:r>
            <w:proofErr w:type="spellEnd"/>
            <w:r w:rsidR="00EE300F"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6A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Херсонської </w:t>
            </w:r>
            <w:r w:rsidR="00EE300F"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300F" w:rsidRPr="00EE300F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proofErr w:type="spellEnd"/>
            <w:r w:rsidR="00EE300F"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E300F" w:rsidRPr="00EE300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Проблема </w:t>
            </w:r>
            <w:r w:rsidR="00AB6A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буде вирішена</w:t>
            </w:r>
            <w:r w:rsidR="00EE300F" w:rsidRPr="00EE30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E300F" w:rsidRPr="00EE300F" w:rsidRDefault="00EE300F" w:rsidP="00EE300F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805"/>
        <w:gridCol w:w="2370"/>
        <w:gridCol w:w="2130"/>
      </w:tblGrid>
      <w:tr w:rsidR="00EE300F" w:rsidRPr="00EE300F" w:rsidTr="004C66E9">
        <w:trPr>
          <w:tblCellSpacing w:w="0" w:type="dxa"/>
        </w:trPr>
        <w:tc>
          <w:tcPr>
            <w:tcW w:w="2265" w:type="dxa"/>
            <w:hideMark/>
          </w:tcPr>
          <w:p w:rsidR="00FE62C3" w:rsidRPr="0046405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05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Рейтинг </w:t>
            </w:r>
            <w:proofErr w:type="spellStart"/>
            <w:r w:rsidRPr="0046405F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результативності</w:t>
            </w:r>
            <w:proofErr w:type="spellEnd"/>
          </w:p>
        </w:tc>
        <w:tc>
          <w:tcPr>
            <w:tcW w:w="2805" w:type="dxa"/>
            <w:hideMark/>
          </w:tcPr>
          <w:p w:rsidR="00FE62C3" w:rsidRPr="0046405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6405F">
              <w:rPr>
                <w:rFonts w:ascii="Times New Roman" w:hAnsi="Times New Roman" w:cs="Times New Roman"/>
                <w:b/>
                <w:sz w:val="28"/>
                <w:szCs w:val="28"/>
              </w:rPr>
              <w:t>Вигоди</w:t>
            </w:r>
            <w:proofErr w:type="spellEnd"/>
            <w:r w:rsidRPr="004640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46405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6405F">
              <w:rPr>
                <w:rFonts w:ascii="Times New Roman" w:hAnsi="Times New Roman" w:cs="Times New Roman"/>
                <w:b/>
                <w:sz w:val="28"/>
                <w:szCs w:val="28"/>
              </w:rPr>
              <w:t>ідсумок</w:t>
            </w:r>
            <w:proofErr w:type="spellEnd"/>
            <w:r w:rsidRPr="0046405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370" w:type="dxa"/>
            <w:hideMark/>
          </w:tcPr>
          <w:p w:rsidR="00FE62C3" w:rsidRPr="0046405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6405F">
              <w:rPr>
                <w:rFonts w:ascii="Times New Roman" w:hAnsi="Times New Roman" w:cs="Times New Roman"/>
                <w:b/>
                <w:sz w:val="28"/>
                <w:szCs w:val="28"/>
              </w:rPr>
              <w:t>Витрати</w:t>
            </w:r>
            <w:proofErr w:type="spellEnd"/>
            <w:r w:rsidRPr="004640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46405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6405F">
              <w:rPr>
                <w:rFonts w:ascii="Times New Roman" w:hAnsi="Times New Roman" w:cs="Times New Roman"/>
                <w:b/>
                <w:sz w:val="28"/>
                <w:szCs w:val="28"/>
              </w:rPr>
              <w:t>ідсумок</w:t>
            </w:r>
            <w:proofErr w:type="spellEnd"/>
            <w:r w:rsidRPr="0046405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130" w:type="dxa"/>
            <w:hideMark/>
          </w:tcPr>
          <w:p w:rsidR="00FE62C3" w:rsidRPr="0046405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6405F">
              <w:rPr>
                <w:rFonts w:ascii="Times New Roman" w:hAnsi="Times New Roman" w:cs="Times New Roman"/>
                <w:b/>
                <w:sz w:val="28"/>
                <w:szCs w:val="28"/>
              </w:rPr>
              <w:t>Обґрунтування</w:t>
            </w:r>
            <w:proofErr w:type="spellEnd"/>
            <w:r w:rsidRPr="004640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405F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відповідного</w:t>
            </w:r>
            <w:proofErr w:type="spellEnd"/>
            <w:r w:rsidRPr="004640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405F">
              <w:rPr>
                <w:rFonts w:ascii="Times New Roman" w:hAnsi="Times New Roman" w:cs="Times New Roman"/>
                <w:b/>
                <w:sz w:val="28"/>
                <w:szCs w:val="28"/>
              </w:rPr>
              <w:t>місця</w:t>
            </w:r>
            <w:proofErr w:type="spellEnd"/>
            <w:r w:rsidRPr="004640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405F">
              <w:rPr>
                <w:rFonts w:ascii="Times New Roman" w:hAnsi="Times New Roman" w:cs="Times New Roman"/>
                <w:b/>
                <w:sz w:val="28"/>
                <w:szCs w:val="28"/>
              </w:rPr>
              <w:t>альтернативи</w:t>
            </w:r>
            <w:proofErr w:type="spellEnd"/>
            <w:r w:rsidRPr="004640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46405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4640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рейтингу</w:t>
            </w:r>
          </w:p>
        </w:tc>
      </w:tr>
      <w:tr w:rsidR="00EE300F" w:rsidRPr="00EE300F" w:rsidTr="004C66E9">
        <w:trPr>
          <w:tblCellSpacing w:w="0" w:type="dxa"/>
        </w:trPr>
        <w:tc>
          <w:tcPr>
            <w:tcW w:w="2265" w:type="dxa"/>
            <w:hideMark/>
          </w:tcPr>
          <w:p w:rsidR="00EE300F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0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Альтернатива 1</w:t>
            </w:r>
            <w:proofErr w:type="gram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300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ідсутність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неприйняття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регуляторного акта </w:t>
            </w:r>
          </w:p>
        </w:tc>
        <w:tc>
          <w:tcPr>
            <w:tcW w:w="2805" w:type="dxa"/>
            <w:hideMark/>
          </w:tcPr>
          <w:p w:rsidR="00FE62C3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Відсутні</w:t>
            </w:r>
            <w:proofErr w:type="spellEnd"/>
          </w:p>
        </w:tc>
        <w:tc>
          <w:tcPr>
            <w:tcW w:w="2370" w:type="dxa"/>
            <w:hideMark/>
          </w:tcPr>
          <w:p w:rsidR="00EE300F" w:rsidRPr="00EE300F" w:rsidRDefault="004C66E9" w:rsidP="004C66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</w:t>
            </w:r>
            <w:r w:rsidR="00EE300F"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130" w:type="dxa"/>
            <w:hideMark/>
          </w:tcPr>
          <w:p w:rsidR="00EE300F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0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Проблема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продовжує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існувати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300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Залишаться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невирішеними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проблеми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належного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чинного</w:t>
            </w:r>
            <w:proofErr w:type="gram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законодавства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сфері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дозволів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розміщення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реклами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поза межами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населених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пунктів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E300F" w:rsidRPr="00EE300F" w:rsidTr="004C66E9">
        <w:trPr>
          <w:tblCellSpacing w:w="0" w:type="dxa"/>
        </w:trPr>
        <w:tc>
          <w:tcPr>
            <w:tcW w:w="2265" w:type="dxa"/>
            <w:hideMark/>
          </w:tcPr>
          <w:p w:rsidR="00EE300F" w:rsidRPr="00EE300F" w:rsidRDefault="00EE300F" w:rsidP="0032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0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Альтернатива 2</w:t>
            </w:r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Запровадження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прийняття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регуляторного акта </w:t>
            </w:r>
          </w:p>
        </w:tc>
        <w:tc>
          <w:tcPr>
            <w:tcW w:w="2805" w:type="dxa"/>
            <w:hideMark/>
          </w:tcPr>
          <w:p w:rsidR="00321B7B" w:rsidRDefault="00EE300F" w:rsidP="00321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B6A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иконання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вимог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чинного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законо</w:t>
            </w:r>
            <w:proofErr w:type="spellEnd"/>
            <w:r w:rsidR="00B818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давства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321B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</w:t>
            </w:r>
            <w:r w:rsidR="00B818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</w:t>
            </w:r>
            <w:proofErr w:type="gramStart"/>
            <w:r w:rsidR="00321B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AB6A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spellStart"/>
            <w:proofErr w:type="gram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провадження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1B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чіткого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механізму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видачі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дозволів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врегулює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взаємодію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6A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Херсонської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r w:rsidR="00AB6A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асної</w:t>
            </w:r>
            <w:proofErr w:type="spellEnd"/>
            <w:r w:rsidR="00AB6A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держа</w:t>
            </w:r>
            <w:proofErr w:type="spellStart"/>
            <w:r w:rsidR="00AB6A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вної</w:t>
            </w:r>
            <w:proofErr w:type="spellEnd"/>
            <w:r w:rsidR="00AB6A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дміністрації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суб’єктами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господа</w:t>
            </w:r>
            <w:r w:rsidR="00321B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рювання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іншими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органами при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видачі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дозволів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EE300F" w:rsidRDefault="00EE300F" w:rsidP="00321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1B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AB6A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321B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порядкування місць та встановлення постійного </w:t>
            </w:r>
            <w:proofErr w:type="spellStart"/>
            <w:r w:rsidRPr="00321B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моніто</w:t>
            </w:r>
            <w:r w:rsidR="00321B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321B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рингу</w:t>
            </w:r>
            <w:proofErr w:type="spellEnd"/>
            <w:r w:rsidRPr="00321B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розміщення зовнішньої реклами поза межами населених пунктів; </w:t>
            </w:r>
            <w:r w:rsidRPr="00321B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321B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-</w:t>
            </w:r>
            <w:r w:rsidR="00464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AB6A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321B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тримання </w:t>
            </w:r>
            <w:r w:rsidR="00464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споживачами </w:t>
            </w:r>
            <w:proofErr w:type="spellStart"/>
            <w:r w:rsidRPr="00321B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</w:t>
            </w:r>
            <w:r w:rsidR="00321B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321B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маційних</w:t>
            </w:r>
            <w:proofErr w:type="spellEnd"/>
            <w:r w:rsidRPr="00321B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64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рекламних </w:t>
            </w:r>
            <w:r w:rsidRPr="00321B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послуг; </w:t>
            </w:r>
            <w:r w:rsidRPr="00321B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- </w:t>
            </w:r>
            <w:r w:rsidR="00AB6A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321B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рахування вимог безпеки дорожнього руху при розміщенні зовнішньої реклами поза межами населених пунктів. </w:t>
            </w:r>
          </w:p>
          <w:p w:rsidR="00AB6A1A" w:rsidRPr="00AB6A1A" w:rsidRDefault="00AB6A1A" w:rsidP="00AB6A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  <w:hideMark/>
          </w:tcPr>
          <w:p w:rsidR="00EE300F" w:rsidRPr="00321B7B" w:rsidRDefault="004C66E9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6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Розрахунки витрат наведені у тесті малого підприємництва</w:t>
            </w:r>
          </w:p>
        </w:tc>
        <w:tc>
          <w:tcPr>
            <w:tcW w:w="2130" w:type="dxa"/>
            <w:hideMark/>
          </w:tcPr>
          <w:p w:rsidR="00EE300F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0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Проблема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вирішена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300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Всі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встановлені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цілі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досягнуті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</w:tbl>
    <w:p w:rsidR="00EE300F" w:rsidRPr="00EE300F" w:rsidRDefault="00EE300F" w:rsidP="00EE300F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3720"/>
        <w:gridCol w:w="3195"/>
      </w:tblGrid>
      <w:tr w:rsidR="00EE300F" w:rsidRPr="00EE300F" w:rsidTr="0046405F">
        <w:trPr>
          <w:tblCellSpacing w:w="0" w:type="dxa"/>
        </w:trPr>
        <w:tc>
          <w:tcPr>
            <w:tcW w:w="2655" w:type="dxa"/>
            <w:hideMark/>
          </w:tcPr>
          <w:p w:rsidR="00FE62C3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</w:t>
            </w:r>
          </w:p>
        </w:tc>
        <w:tc>
          <w:tcPr>
            <w:tcW w:w="3720" w:type="dxa"/>
            <w:hideMark/>
          </w:tcPr>
          <w:p w:rsidR="00FE62C3" w:rsidRPr="0046405F" w:rsidRDefault="00EE300F" w:rsidP="004640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40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Аргументи щодо перева</w:t>
            </w:r>
            <w:r w:rsidR="004640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</w:t>
            </w:r>
            <w:r w:rsidRPr="004640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и обраної альтернативи/причини відмови від альтернативи</w:t>
            </w:r>
          </w:p>
        </w:tc>
        <w:tc>
          <w:tcPr>
            <w:tcW w:w="3195" w:type="dxa"/>
            <w:hideMark/>
          </w:tcPr>
          <w:p w:rsidR="00FE62C3" w:rsidRPr="0046405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40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EE300F" w:rsidRPr="00EE300F" w:rsidTr="0046405F">
        <w:trPr>
          <w:tblCellSpacing w:w="0" w:type="dxa"/>
        </w:trPr>
        <w:tc>
          <w:tcPr>
            <w:tcW w:w="2655" w:type="dxa"/>
            <w:hideMark/>
          </w:tcPr>
          <w:p w:rsidR="00EE300F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0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Альтернатива 1</w:t>
            </w:r>
            <w:proofErr w:type="gram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300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ідсутність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неприйняття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регуляторного акта </w:t>
            </w:r>
          </w:p>
        </w:tc>
        <w:tc>
          <w:tcPr>
            <w:tcW w:w="3720" w:type="dxa"/>
            <w:hideMark/>
          </w:tcPr>
          <w:p w:rsidR="00EE300F" w:rsidRPr="0046405F" w:rsidRDefault="00EE300F" w:rsidP="0032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4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забезпеч</w:t>
            </w:r>
            <w:r w:rsidR="0046405F" w:rsidRPr="00464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ено</w:t>
            </w:r>
            <w:r w:rsidRPr="00464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належне виконання чинного законодавства України у сфері розміщення зовнішньої реклами поза межами населених пунктів </w:t>
            </w:r>
            <w:r w:rsidR="00321B7B" w:rsidRPr="00464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Херсонської</w:t>
            </w:r>
            <w:r w:rsidRPr="00464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області. </w:t>
            </w:r>
            <w:r w:rsidRPr="00464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Зазначена альтернатива є неприйнятною. </w:t>
            </w:r>
          </w:p>
          <w:p w:rsidR="00321B7B" w:rsidRPr="0046405F" w:rsidRDefault="00321B7B" w:rsidP="0032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5" w:type="dxa"/>
            <w:hideMark/>
          </w:tcPr>
          <w:p w:rsidR="00EE300F" w:rsidRPr="0046405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4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до чинного законодавства України. </w:t>
            </w:r>
          </w:p>
        </w:tc>
      </w:tr>
      <w:tr w:rsidR="00EE300F" w:rsidRPr="002A7279" w:rsidTr="0046405F">
        <w:trPr>
          <w:tblCellSpacing w:w="0" w:type="dxa"/>
        </w:trPr>
        <w:tc>
          <w:tcPr>
            <w:tcW w:w="2655" w:type="dxa"/>
            <w:hideMark/>
          </w:tcPr>
          <w:p w:rsidR="00EE300F" w:rsidRPr="00EE300F" w:rsidRDefault="00EE300F" w:rsidP="00EE3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0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Альтернатива 2</w:t>
            </w:r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300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Запровадження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>прийняття</w:t>
            </w:r>
            <w:proofErr w:type="spellEnd"/>
            <w:r w:rsidRPr="00EE300F">
              <w:rPr>
                <w:rFonts w:ascii="Times New Roman" w:hAnsi="Times New Roman" w:cs="Times New Roman"/>
                <w:sz w:val="28"/>
                <w:szCs w:val="28"/>
              </w:rPr>
              <w:t xml:space="preserve"> регуляторного акта </w:t>
            </w:r>
          </w:p>
        </w:tc>
        <w:tc>
          <w:tcPr>
            <w:tcW w:w="3720" w:type="dxa"/>
            <w:hideMark/>
          </w:tcPr>
          <w:p w:rsidR="00EE300F" w:rsidRPr="0046405F" w:rsidRDefault="00EE300F" w:rsidP="00AB6A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4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Сприяє у повній мірі досягненню цілей регулювання. Зазначена альтернатива є прийнятною, оскільки надасть можливість забезпечення прозорої процедури розміщення зовнішньої реклами поза межами населених пунктів </w:t>
            </w:r>
            <w:r w:rsidR="00AB6A1A" w:rsidRPr="00464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Херсонської</w:t>
            </w:r>
            <w:r w:rsidRPr="00464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області </w:t>
            </w:r>
          </w:p>
        </w:tc>
        <w:tc>
          <w:tcPr>
            <w:tcW w:w="3195" w:type="dxa"/>
            <w:hideMark/>
          </w:tcPr>
          <w:p w:rsidR="00EE300F" w:rsidRPr="0046405F" w:rsidRDefault="00EE300F" w:rsidP="0032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4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Головними зовнішнім </w:t>
            </w:r>
            <w:r w:rsidRPr="00464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чинниками, які впливатимуть </w:t>
            </w:r>
            <w:r w:rsidRPr="00464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на дію регуляторного акта, можуть бути зміни в законодавчій</w:t>
            </w:r>
            <w:r w:rsidR="00321B7B" w:rsidRPr="00464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базі</w:t>
            </w:r>
            <w:r w:rsidRPr="00464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На виконання вимог акта впливатимуть економічні чинники зокрема, </w:t>
            </w:r>
            <w:proofErr w:type="spellStart"/>
            <w:r w:rsidRPr="00464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зокрема</w:t>
            </w:r>
            <w:proofErr w:type="spellEnd"/>
            <w:r w:rsidRPr="00464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інфляційні процеси, надмірне зростання цін, зміни в оподаткуванні тощо. </w:t>
            </w:r>
            <w:r w:rsidRPr="00464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Разом з тим, суб’єкти </w:t>
            </w:r>
            <w:r w:rsidRPr="00464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господарювання – </w:t>
            </w:r>
            <w:r w:rsidRPr="00464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розповсюджувачі реклами, можливі збитки від впливу </w:t>
            </w:r>
            <w:r w:rsidRPr="00464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зовнішніх факторів </w:t>
            </w:r>
            <w:r w:rsidRPr="00464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зможуть компенсувати за рахунок прибутку від здійснення </w:t>
            </w:r>
            <w:proofErr w:type="spellStart"/>
            <w:r w:rsidRPr="00464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ії</w:t>
            </w:r>
            <w:proofErr w:type="spellEnd"/>
            <w:r w:rsidRPr="00464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підприємницької діяльності з надання рекламних послуг. </w:t>
            </w:r>
          </w:p>
        </w:tc>
      </w:tr>
    </w:tbl>
    <w:p w:rsidR="0046405F" w:rsidRDefault="0046405F" w:rsidP="00EE30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E300F" w:rsidRPr="00EE300F" w:rsidRDefault="00EE300F" w:rsidP="00EE30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00F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EE300F">
        <w:rPr>
          <w:rFonts w:ascii="Times New Roman" w:hAnsi="Times New Roman" w:cs="Times New Roman"/>
          <w:b/>
          <w:bCs/>
          <w:sz w:val="28"/>
          <w:szCs w:val="28"/>
        </w:rPr>
        <w:t>Механізми</w:t>
      </w:r>
      <w:proofErr w:type="spellEnd"/>
      <w:r w:rsidRPr="00EE300F">
        <w:rPr>
          <w:rFonts w:ascii="Times New Roman" w:hAnsi="Times New Roman" w:cs="Times New Roman"/>
          <w:b/>
          <w:bCs/>
          <w:sz w:val="28"/>
          <w:szCs w:val="28"/>
        </w:rPr>
        <w:t xml:space="preserve"> та заходи, </w:t>
      </w:r>
      <w:proofErr w:type="spellStart"/>
      <w:r w:rsidRPr="00EE300F">
        <w:rPr>
          <w:rFonts w:ascii="Times New Roman" w:hAnsi="Times New Roman" w:cs="Times New Roman"/>
          <w:b/>
          <w:bCs/>
          <w:sz w:val="28"/>
          <w:szCs w:val="28"/>
        </w:rPr>
        <w:t>які</w:t>
      </w:r>
      <w:proofErr w:type="spellEnd"/>
      <w:r w:rsidRPr="00EE3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300F">
        <w:rPr>
          <w:rFonts w:ascii="Times New Roman" w:hAnsi="Times New Roman" w:cs="Times New Roman"/>
          <w:b/>
          <w:bCs/>
          <w:sz w:val="28"/>
          <w:szCs w:val="28"/>
        </w:rPr>
        <w:t>забезпечать</w:t>
      </w:r>
      <w:proofErr w:type="spellEnd"/>
      <w:r w:rsidRPr="00EE3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300F">
        <w:rPr>
          <w:rFonts w:ascii="Times New Roman" w:hAnsi="Times New Roman" w:cs="Times New Roman"/>
          <w:b/>
          <w:bCs/>
          <w:sz w:val="28"/>
          <w:szCs w:val="28"/>
        </w:rPr>
        <w:t>розв’язання</w:t>
      </w:r>
      <w:proofErr w:type="spellEnd"/>
      <w:r w:rsidR="004640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EE300F">
        <w:rPr>
          <w:rFonts w:ascii="Times New Roman" w:hAnsi="Times New Roman" w:cs="Times New Roman"/>
          <w:b/>
          <w:bCs/>
          <w:sz w:val="28"/>
          <w:szCs w:val="28"/>
        </w:rPr>
        <w:t>визначеної</w:t>
      </w:r>
      <w:proofErr w:type="spellEnd"/>
      <w:r w:rsidRPr="00EE3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300F">
        <w:rPr>
          <w:rFonts w:ascii="Times New Roman" w:hAnsi="Times New Roman" w:cs="Times New Roman"/>
          <w:b/>
          <w:bCs/>
          <w:sz w:val="28"/>
          <w:szCs w:val="28"/>
        </w:rPr>
        <w:t>проблеми</w:t>
      </w:r>
      <w:proofErr w:type="spellEnd"/>
    </w:p>
    <w:p w:rsidR="00EE300F" w:rsidRPr="00EE300F" w:rsidRDefault="00EE300F" w:rsidP="00EE30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00F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EE300F" w:rsidRPr="00321B7B" w:rsidRDefault="00EE300F" w:rsidP="00B00F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B7B">
        <w:rPr>
          <w:rFonts w:ascii="Times New Roman" w:hAnsi="Times New Roman" w:cs="Times New Roman"/>
          <w:sz w:val="28"/>
          <w:szCs w:val="28"/>
          <w:lang w:val="uk-UA"/>
        </w:rPr>
        <w:t xml:space="preserve">В основу проекту регуляторного акту закладено механізм, який </w:t>
      </w:r>
      <w:r w:rsidRPr="00EE300F">
        <w:rPr>
          <w:rFonts w:ascii="Times New Roman" w:hAnsi="Times New Roman" w:cs="Times New Roman"/>
          <w:sz w:val="28"/>
          <w:szCs w:val="28"/>
        </w:rPr>
        <w:t> </w:t>
      </w:r>
      <w:r w:rsidRPr="00321B7B">
        <w:rPr>
          <w:rFonts w:ascii="Times New Roman" w:hAnsi="Times New Roman" w:cs="Times New Roman"/>
          <w:sz w:val="28"/>
          <w:szCs w:val="28"/>
          <w:lang w:val="uk-UA"/>
        </w:rPr>
        <w:t xml:space="preserve">передбачає затвердження та виконання всіма суб’єктами господарювання Порядку надання дозволів на розміщення зовнішньої реклами поза межами населених пунктів </w:t>
      </w:r>
      <w:r w:rsidR="00B00FA9">
        <w:rPr>
          <w:rFonts w:ascii="Times New Roman" w:hAnsi="Times New Roman" w:cs="Times New Roman"/>
          <w:sz w:val="28"/>
          <w:szCs w:val="28"/>
          <w:lang w:val="uk-UA"/>
        </w:rPr>
        <w:t>Херсонськ</w:t>
      </w:r>
      <w:r w:rsidRPr="00321B7B">
        <w:rPr>
          <w:rFonts w:ascii="Times New Roman" w:hAnsi="Times New Roman" w:cs="Times New Roman"/>
          <w:sz w:val="28"/>
          <w:szCs w:val="28"/>
          <w:lang w:val="uk-UA"/>
        </w:rPr>
        <w:t>ої області.</w:t>
      </w:r>
    </w:p>
    <w:p w:rsidR="00EE300F" w:rsidRPr="00321B7B" w:rsidRDefault="00EE300F" w:rsidP="00B00F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B7B">
        <w:rPr>
          <w:rFonts w:ascii="Times New Roman" w:hAnsi="Times New Roman" w:cs="Times New Roman"/>
          <w:sz w:val="28"/>
          <w:szCs w:val="28"/>
          <w:lang w:val="uk-UA"/>
        </w:rPr>
        <w:t>Запропонований спосіб досягнення цілей є оптимальним шляхом вирішення проблеми й ґрунтується на загальнообов’язковості виконання норм зазначеного рішення всіма учасниками правовідносин у сфері надання дозволів на розміщення зовнішньої реклами поза межами населених пунктів.</w:t>
      </w:r>
    </w:p>
    <w:p w:rsidR="00EE300F" w:rsidRPr="00321B7B" w:rsidRDefault="00EE300F" w:rsidP="00B00F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B7B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даного розпорядження надасть можливість </w:t>
      </w:r>
      <w:r w:rsidR="00B00FA9">
        <w:rPr>
          <w:rFonts w:ascii="Times New Roman" w:hAnsi="Times New Roman" w:cs="Times New Roman"/>
          <w:sz w:val="28"/>
          <w:szCs w:val="28"/>
          <w:lang w:val="uk-UA"/>
        </w:rPr>
        <w:t xml:space="preserve">Херсонській </w:t>
      </w:r>
      <w:r w:rsidRPr="00321B7B">
        <w:rPr>
          <w:rFonts w:ascii="Times New Roman" w:hAnsi="Times New Roman" w:cs="Times New Roman"/>
          <w:sz w:val="28"/>
          <w:szCs w:val="28"/>
          <w:lang w:val="uk-UA"/>
        </w:rPr>
        <w:t>обласній державній адміністрації видавати дозволи на розміщення зовнішньої реклами поза межами населених пунктів, що в свою чергу сприятиме розвитку здорової конкуренції у сфері рекламних послуг на території області.</w:t>
      </w:r>
    </w:p>
    <w:p w:rsidR="00EE300F" w:rsidRPr="00EE300F" w:rsidRDefault="00EE300F" w:rsidP="00321B7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EE300F">
        <w:rPr>
          <w:rFonts w:ascii="Times New Roman" w:hAnsi="Times New Roman" w:cs="Times New Roman"/>
          <w:sz w:val="28"/>
          <w:szCs w:val="28"/>
        </w:rPr>
        <w:t>Організаційні</w:t>
      </w:r>
      <w:proofErr w:type="spellEnd"/>
      <w:r w:rsidRPr="00EE300F">
        <w:rPr>
          <w:rFonts w:ascii="Times New Roman" w:hAnsi="Times New Roman" w:cs="Times New Roman"/>
          <w:sz w:val="28"/>
          <w:szCs w:val="28"/>
        </w:rPr>
        <w:t xml:space="preserve"> заходи для </w:t>
      </w:r>
      <w:proofErr w:type="spellStart"/>
      <w:r w:rsidRPr="00EE300F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EE3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00F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EE300F">
        <w:rPr>
          <w:rFonts w:ascii="Times New Roman" w:hAnsi="Times New Roman" w:cs="Times New Roman"/>
          <w:sz w:val="28"/>
          <w:szCs w:val="28"/>
        </w:rPr>
        <w:t>:</w:t>
      </w:r>
    </w:p>
    <w:p w:rsidR="00EE300F" w:rsidRPr="00321B7B" w:rsidRDefault="00EE300F" w:rsidP="00464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B7B">
        <w:rPr>
          <w:rFonts w:ascii="Times New Roman" w:hAnsi="Times New Roman" w:cs="Times New Roman"/>
          <w:sz w:val="28"/>
          <w:szCs w:val="28"/>
          <w:lang w:val="uk-UA"/>
        </w:rPr>
        <w:t xml:space="preserve">- розробка проекту регуляторного акта – проекту розпорядження голови </w:t>
      </w:r>
      <w:r w:rsidR="0046405F">
        <w:rPr>
          <w:rFonts w:ascii="Times New Roman" w:hAnsi="Times New Roman" w:cs="Times New Roman"/>
          <w:sz w:val="28"/>
          <w:szCs w:val="28"/>
          <w:lang w:val="uk-UA"/>
        </w:rPr>
        <w:t xml:space="preserve">Херсонської </w:t>
      </w:r>
      <w:r w:rsidRPr="00321B7B">
        <w:rPr>
          <w:rFonts w:ascii="Times New Roman" w:hAnsi="Times New Roman" w:cs="Times New Roman"/>
          <w:sz w:val="28"/>
          <w:szCs w:val="28"/>
          <w:lang w:val="uk-UA"/>
        </w:rPr>
        <w:t>обл</w:t>
      </w:r>
      <w:r w:rsidR="0046405F">
        <w:rPr>
          <w:rFonts w:ascii="Times New Roman" w:hAnsi="Times New Roman" w:cs="Times New Roman"/>
          <w:sz w:val="28"/>
          <w:szCs w:val="28"/>
          <w:lang w:val="uk-UA"/>
        </w:rPr>
        <w:t xml:space="preserve">асної </w:t>
      </w:r>
      <w:r w:rsidRPr="00321B7B">
        <w:rPr>
          <w:rFonts w:ascii="Times New Roman" w:hAnsi="Times New Roman" w:cs="Times New Roman"/>
          <w:sz w:val="28"/>
          <w:szCs w:val="28"/>
          <w:lang w:val="uk-UA"/>
        </w:rPr>
        <w:t>держа</w:t>
      </w:r>
      <w:r w:rsidR="0046405F">
        <w:rPr>
          <w:rFonts w:ascii="Times New Roman" w:hAnsi="Times New Roman" w:cs="Times New Roman"/>
          <w:sz w:val="28"/>
          <w:szCs w:val="28"/>
          <w:lang w:val="uk-UA"/>
        </w:rPr>
        <w:t>вної а</w:t>
      </w:r>
      <w:r w:rsidRPr="00321B7B">
        <w:rPr>
          <w:rFonts w:ascii="Times New Roman" w:hAnsi="Times New Roman" w:cs="Times New Roman"/>
          <w:sz w:val="28"/>
          <w:szCs w:val="28"/>
          <w:lang w:val="uk-UA"/>
        </w:rPr>
        <w:t xml:space="preserve">дміністрації </w:t>
      </w:r>
      <w:r w:rsidR="005B2E3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21B7B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Порядку надання дозволів на розміщення зовнішньої реклами поза межами населених пунктів </w:t>
      </w:r>
      <w:r w:rsidR="00B00FA9">
        <w:rPr>
          <w:rFonts w:ascii="Times New Roman" w:hAnsi="Times New Roman" w:cs="Times New Roman"/>
          <w:sz w:val="28"/>
          <w:szCs w:val="28"/>
          <w:lang w:val="uk-UA"/>
        </w:rPr>
        <w:t>Херсонської</w:t>
      </w:r>
      <w:r w:rsidRPr="00321B7B">
        <w:rPr>
          <w:rFonts w:ascii="Times New Roman" w:hAnsi="Times New Roman" w:cs="Times New Roman"/>
          <w:sz w:val="28"/>
          <w:szCs w:val="28"/>
          <w:lang w:val="uk-UA"/>
        </w:rPr>
        <w:t xml:space="preserve"> області</w:t>
      </w:r>
      <w:r w:rsidR="005B2E3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21B7B">
        <w:rPr>
          <w:rFonts w:ascii="Times New Roman" w:hAnsi="Times New Roman" w:cs="Times New Roman"/>
          <w:sz w:val="28"/>
          <w:szCs w:val="28"/>
          <w:lang w:val="uk-UA"/>
        </w:rPr>
        <w:t>, обговорення його з усіма зацікавленими сторонами;</w:t>
      </w:r>
    </w:p>
    <w:p w:rsidR="00EE300F" w:rsidRPr="00321B7B" w:rsidRDefault="00EE300F" w:rsidP="00B00F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B7B">
        <w:rPr>
          <w:rFonts w:ascii="Times New Roman" w:hAnsi="Times New Roman" w:cs="Times New Roman"/>
          <w:sz w:val="28"/>
          <w:szCs w:val="28"/>
          <w:lang w:val="uk-UA"/>
        </w:rPr>
        <w:t xml:space="preserve">- оприлюднення проекту розпорядження голови </w:t>
      </w:r>
      <w:r w:rsidR="00B00FA9">
        <w:rPr>
          <w:rFonts w:ascii="Times New Roman" w:hAnsi="Times New Roman" w:cs="Times New Roman"/>
          <w:sz w:val="28"/>
          <w:szCs w:val="28"/>
          <w:lang w:val="uk-UA"/>
        </w:rPr>
        <w:t xml:space="preserve">Херсонської </w:t>
      </w:r>
      <w:r w:rsidRPr="00321B7B">
        <w:rPr>
          <w:rFonts w:ascii="Times New Roman" w:hAnsi="Times New Roman" w:cs="Times New Roman"/>
          <w:sz w:val="28"/>
          <w:szCs w:val="28"/>
          <w:lang w:val="uk-UA"/>
        </w:rPr>
        <w:t>обл</w:t>
      </w:r>
      <w:r w:rsidR="002A7279">
        <w:rPr>
          <w:rFonts w:ascii="Times New Roman" w:hAnsi="Times New Roman" w:cs="Times New Roman"/>
          <w:sz w:val="28"/>
          <w:szCs w:val="28"/>
          <w:lang w:val="uk-UA"/>
        </w:rPr>
        <w:t xml:space="preserve">асної </w:t>
      </w:r>
      <w:r w:rsidRPr="00321B7B">
        <w:rPr>
          <w:rFonts w:ascii="Times New Roman" w:hAnsi="Times New Roman" w:cs="Times New Roman"/>
          <w:sz w:val="28"/>
          <w:szCs w:val="28"/>
          <w:lang w:val="uk-UA"/>
        </w:rPr>
        <w:t>держа</w:t>
      </w:r>
      <w:r w:rsidR="002A7279">
        <w:rPr>
          <w:rFonts w:ascii="Times New Roman" w:hAnsi="Times New Roman" w:cs="Times New Roman"/>
          <w:sz w:val="28"/>
          <w:szCs w:val="28"/>
          <w:lang w:val="uk-UA"/>
        </w:rPr>
        <w:t>вної а</w:t>
      </w:r>
      <w:r w:rsidRPr="00321B7B">
        <w:rPr>
          <w:rFonts w:ascii="Times New Roman" w:hAnsi="Times New Roman" w:cs="Times New Roman"/>
          <w:sz w:val="28"/>
          <w:szCs w:val="28"/>
          <w:lang w:val="uk-UA"/>
        </w:rPr>
        <w:t xml:space="preserve">дміністрації </w:t>
      </w:r>
      <w:r w:rsidR="005B2E3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21B7B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Порядку надання дозволів на розміщення зовнішньої реклами поза межами населених пунктів </w:t>
      </w:r>
      <w:r w:rsidR="00B00FA9">
        <w:rPr>
          <w:rFonts w:ascii="Times New Roman" w:hAnsi="Times New Roman" w:cs="Times New Roman"/>
          <w:sz w:val="28"/>
          <w:szCs w:val="28"/>
          <w:lang w:val="uk-UA"/>
        </w:rPr>
        <w:t>Херсонської</w:t>
      </w:r>
      <w:r w:rsidRPr="00321B7B">
        <w:rPr>
          <w:rFonts w:ascii="Times New Roman" w:hAnsi="Times New Roman" w:cs="Times New Roman"/>
          <w:sz w:val="28"/>
          <w:szCs w:val="28"/>
          <w:lang w:val="uk-UA"/>
        </w:rPr>
        <w:t xml:space="preserve"> області</w:t>
      </w:r>
      <w:r w:rsidR="005B2E3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21B7B">
        <w:rPr>
          <w:rFonts w:ascii="Times New Roman" w:hAnsi="Times New Roman" w:cs="Times New Roman"/>
          <w:sz w:val="28"/>
          <w:szCs w:val="28"/>
          <w:lang w:val="uk-UA"/>
        </w:rPr>
        <w:t xml:space="preserve"> разом з аналізом регуляторного впливу з метою отримання зауважень та пропозицій від фізичних та юридичних осіб, їх об’єднань;</w:t>
      </w:r>
    </w:p>
    <w:p w:rsidR="00EE300F" w:rsidRPr="00321B7B" w:rsidRDefault="00EE300F" w:rsidP="00B00F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B7B">
        <w:rPr>
          <w:rFonts w:ascii="Times New Roman" w:hAnsi="Times New Roman" w:cs="Times New Roman"/>
          <w:sz w:val="28"/>
          <w:szCs w:val="28"/>
          <w:lang w:val="uk-UA"/>
        </w:rPr>
        <w:t xml:space="preserve">- прийняття проекту регуляторного акта </w:t>
      </w:r>
      <w:r w:rsidR="005B2E3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21B7B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Порядку надання дозволів на розміщення зовнішньої реклами поза межами населених пунктів </w:t>
      </w:r>
      <w:r w:rsidR="00B00FA9">
        <w:rPr>
          <w:rFonts w:ascii="Times New Roman" w:hAnsi="Times New Roman" w:cs="Times New Roman"/>
          <w:sz w:val="28"/>
          <w:szCs w:val="28"/>
          <w:lang w:val="uk-UA"/>
        </w:rPr>
        <w:t>Херсонської</w:t>
      </w:r>
      <w:r w:rsidRPr="00321B7B">
        <w:rPr>
          <w:rFonts w:ascii="Times New Roman" w:hAnsi="Times New Roman" w:cs="Times New Roman"/>
          <w:sz w:val="28"/>
          <w:szCs w:val="28"/>
          <w:lang w:val="uk-UA"/>
        </w:rPr>
        <w:t xml:space="preserve"> області</w:t>
      </w:r>
      <w:r w:rsidR="005B2E3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21B7B">
        <w:rPr>
          <w:rFonts w:ascii="Times New Roman" w:hAnsi="Times New Roman" w:cs="Times New Roman"/>
          <w:sz w:val="28"/>
          <w:szCs w:val="28"/>
          <w:lang w:val="uk-UA"/>
        </w:rPr>
        <w:t xml:space="preserve"> шляхом затвердження розпорядження</w:t>
      </w:r>
      <w:r w:rsidR="002A727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321B7B">
        <w:rPr>
          <w:rFonts w:ascii="Times New Roman" w:hAnsi="Times New Roman" w:cs="Times New Roman"/>
          <w:sz w:val="28"/>
          <w:szCs w:val="28"/>
          <w:lang w:val="uk-UA"/>
        </w:rPr>
        <w:t xml:space="preserve"> голови </w:t>
      </w:r>
      <w:r w:rsidR="002A7279">
        <w:rPr>
          <w:rFonts w:ascii="Times New Roman" w:hAnsi="Times New Roman" w:cs="Times New Roman"/>
          <w:sz w:val="28"/>
          <w:szCs w:val="28"/>
          <w:lang w:val="uk-UA"/>
        </w:rPr>
        <w:t>Херсонської</w:t>
      </w:r>
      <w:r w:rsidRPr="00321B7B">
        <w:rPr>
          <w:rFonts w:ascii="Times New Roman" w:hAnsi="Times New Roman" w:cs="Times New Roman"/>
          <w:sz w:val="28"/>
          <w:szCs w:val="28"/>
          <w:lang w:val="uk-UA"/>
        </w:rPr>
        <w:t xml:space="preserve"> обл</w:t>
      </w:r>
      <w:r w:rsidR="002A7279">
        <w:rPr>
          <w:rFonts w:ascii="Times New Roman" w:hAnsi="Times New Roman" w:cs="Times New Roman"/>
          <w:sz w:val="28"/>
          <w:szCs w:val="28"/>
          <w:lang w:val="uk-UA"/>
        </w:rPr>
        <w:t>асної державної а</w:t>
      </w:r>
      <w:r w:rsidRPr="00321B7B">
        <w:rPr>
          <w:rFonts w:ascii="Times New Roman" w:hAnsi="Times New Roman" w:cs="Times New Roman"/>
          <w:sz w:val="28"/>
          <w:szCs w:val="28"/>
          <w:lang w:val="uk-UA"/>
        </w:rPr>
        <w:t>дміністрації.</w:t>
      </w:r>
    </w:p>
    <w:p w:rsidR="00EE300F" w:rsidRPr="00EE300F" w:rsidRDefault="00EE300F" w:rsidP="00321B7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E300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E300F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Pr="00EE3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00F">
        <w:rPr>
          <w:rFonts w:ascii="Times New Roman" w:hAnsi="Times New Roman" w:cs="Times New Roman"/>
          <w:sz w:val="28"/>
          <w:szCs w:val="28"/>
        </w:rPr>
        <w:t>прийнятого</w:t>
      </w:r>
      <w:proofErr w:type="spellEnd"/>
      <w:r w:rsidRPr="00EE3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00F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EE300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E300F">
        <w:rPr>
          <w:rFonts w:ascii="Times New Roman" w:hAnsi="Times New Roman" w:cs="Times New Roman"/>
          <w:sz w:val="28"/>
          <w:szCs w:val="28"/>
        </w:rPr>
        <w:t>засобах</w:t>
      </w:r>
      <w:proofErr w:type="spellEnd"/>
      <w:r w:rsidRPr="00EE3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00F">
        <w:rPr>
          <w:rFonts w:ascii="Times New Roman" w:hAnsi="Times New Roman" w:cs="Times New Roman"/>
          <w:sz w:val="28"/>
          <w:szCs w:val="28"/>
        </w:rPr>
        <w:t>масової</w:t>
      </w:r>
      <w:proofErr w:type="spellEnd"/>
      <w:r w:rsidRPr="00EE3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00F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EE300F">
        <w:rPr>
          <w:rFonts w:ascii="Times New Roman" w:hAnsi="Times New Roman" w:cs="Times New Roman"/>
          <w:sz w:val="28"/>
          <w:szCs w:val="28"/>
        </w:rPr>
        <w:t>.</w:t>
      </w:r>
    </w:p>
    <w:p w:rsidR="00EE300F" w:rsidRDefault="00EE300F" w:rsidP="00B00F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B7B">
        <w:rPr>
          <w:rFonts w:ascii="Times New Roman" w:hAnsi="Times New Roman" w:cs="Times New Roman"/>
          <w:sz w:val="28"/>
          <w:szCs w:val="28"/>
          <w:lang w:val="uk-UA"/>
        </w:rPr>
        <w:t>Запропонований механізм, спрямований на розв’язання визначеної проблеми, повністю відповідає принципам державної регуляторної політики, а саме: доцільності, ефективності, збалансованості, передбачуваності, прозорості та врахування громадської думки.</w:t>
      </w:r>
    </w:p>
    <w:p w:rsidR="00321B7B" w:rsidRDefault="00321B7B" w:rsidP="00321B7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46405F" w:rsidRPr="00321B7B" w:rsidRDefault="0046405F" w:rsidP="00321B7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EE300F" w:rsidRPr="00321B7B" w:rsidRDefault="00EE300F" w:rsidP="00321B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B7B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6. Оцінка виконання вимог регуляторного акта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вимоги.</w:t>
      </w:r>
    </w:p>
    <w:p w:rsidR="00EE300F" w:rsidRDefault="00EE300F" w:rsidP="00321B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00F">
        <w:rPr>
          <w:rFonts w:ascii="Times New Roman" w:hAnsi="Times New Roman" w:cs="Times New Roman"/>
          <w:sz w:val="28"/>
          <w:szCs w:val="28"/>
        </w:rPr>
        <w:t> </w:t>
      </w:r>
      <w:r w:rsidRPr="00321B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00F">
        <w:rPr>
          <w:rFonts w:ascii="Times New Roman" w:hAnsi="Times New Roman" w:cs="Times New Roman"/>
          <w:sz w:val="28"/>
          <w:szCs w:val="28"/>
        </w:rPr>
        <w:t> </w:t>
      </w:r>
      <w:r w:rsidRPr="00321B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00F">
        <w:rPr>
          <w:rFonts w:ascii="Times New Roman" w:hAnsi="Times New Roman" w:cs="Times New Roman"/>
          <w:sz w:val="28"/>
          <w:szCs w:val="28"/>
        </w:rPr>
        <w:t> </w:t>
      </w:r>
      <w:r w:rsidRPr="00321B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00F">
        <w:rPr>
          <w:rFonts w:ascii="Times New Roman" w:hAnsi="Times New Roman" w:cs="Times New Roman"/>
          <w:sz w:val="28"/>
          <w:szCs w:val="28"/>
        </w:rPr>
        <w:t> </w:t>
      </w:r>
      <w:r w:rsidRPr="00321B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00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E300F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EE3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00F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Pr="00EE3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00F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EE300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E300F">
        <w:rPr>
          <w:rFonts w:ascii="Times New Roman" w:hAnsi="Times New Roman" w:cs="Times New Roman"/>
          <w:sz w:val="28"/>
          <w:szCs w:val="28"/>
        </w:rPr>
        <w:t>суб’єкти</w:t>
      </w:r>
      <w:proofErr w:type="spellEnd"/>
      <w:r w:rsidRPr="00EE3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00F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EE3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00F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EE300F">
        <w:rPr>
          <w:rFonts w:ascii="Times New Roman" w:hAnsi="Times New Roman" w:cs="Times New Roman"/>
          <w:sz w:val="28"/>
          <w:szCs w:val="28"/>
        </w:rPr>
        <w:t xml:space="preserve"> нести </w:t>
      </w:r>
      <w:r w:rsidR="00321B7B">
        <w:rPr>
          <w:rFonts w:ascii="Times New Roman" w:hAnsi="Times New Roman" w:cs="Times New Roman"/>
          <w:sz w:val="28"/>
          <w:szCs w:val="28"/>
          <w:lang w:val="uk-UA"/>
        </w:rPr>
        <w:t xml:space="preserve">певні </w:t>
      </w:r>
      <w:proofErr w:type="spellStart"/>
      <w:r w:rsidRPr="00EE300F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EE300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E300F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EE3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00F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EE300F">
        <w:rPr>
          <w:rFonts w:ascii="Times New Roman" w:hAnsi="Times New Roman" w:cs="Times New Roman"/>
          <w:sz w:val="28"/>
          <w:szCs w:val="28"/>
        </w:rPr>
        <w:t xml:space="preserve"> регуляторного акта. Тест малого </w:t>
      </w:r>
      <w:proofErr w:type="spellStart"/>
      <w:proofErr w:type="gramStart"/>
      <w:r w:rsidRPr="00EE300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E300F">
        <w:rPr>
          <w:rFonts w:ascii="Times New Roman" w:hAnsi="Times New Roman" w:cs="Times New Roman"/>
          <w:sz w:val="28"/>
          <w:szCs w:val="28"/>
        </w:rPr>
        <w:t>ідприємництва</w:t>
      </w:r>
      <w:proofErr w:type="spellEnd"/>
      <w:r w:rsidRPr="00EE3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00F"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 w:rsidRPr="00EE300F">
        <w:rPr>
          <w:rFonts w:ascii="Times New Roman" w:hAnsi="Times New Roman" w:cs="Times New Roman"/>
          <w:sz w:val="28"/>
          <w:szCs w:val="28"/>
        </w:rPr>
        <w:t>.</w:t>
      </w:r>
    </w:p>
    <w:p w:rsidR="00321B7B" w:rsidRPr="00321B7B" w:rsidRDefault="00321B7B" w:rsidP="00321B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300F" w:rsidRPr="00EE300F" w:rsidRDefault="00EE300F" w:rsidP="00EE30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00F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EE300F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  <w:proofErr w:type="spellEnd"/>
      <w:r w:rsidRPr="00EE3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300F">
        <w:rPr>
          <w:rFonts w:ascii="Times New Roman" w:hAnsi="Times New Roman" w:cs="Times New Roman"/>
          <w:b/>
          <w:bCs/>
          <w:sz w:val="28"/>
          <w:szCs w:val="28"/>
        </w:rPr>
        <w:t>запропонованого</w:t>
      </w:r>
      <w:proofErr w:type="spellEnd"/>
      <w:r w:rsidRPr="00EE300F">
        <w:rPr>
          <w:rFonts w:ascii="Times New Roman" w:hAnsi="Times New Roman" w:cs="Times New Roman"/>
          <w:b/>
          <w:bCs/>
          <w:sz w:val="28"/>
          <w:szCs w:val="28"/>
        </w:rPr>
        <w:t xml:space="preserve"> строку </w:t>
      </w:r>
      <w:proofErr w:type="spellStart"/>
      <w:r w:rsidRPr="00EE300F">
        <w:rPr>
          <w:rFonts w:ascii="Times New Roman" w:hAnsi="Times New Roman" w:cs="Times New Roman"/>
          <w:b/>
          <w:bCs/>
          <w:sz w:val="28"/>
          <w:szCs w:val="28"/>
        </w:rPr>
        <w:t>дії</w:t>
      </w:r>
      <w:proofErr w:type="spellEnd"/>
      <w:r w:rsidRPr="00EE300F">
        <w:rPr>
          <w:rFonts w:ascii="Times New Roman" w:hAnsi="Times New Roman" w:cs="Times New Roman"/>
          <w:b/>
          <w:bCs/>
          <w:sz w:val="28"/>
          <w:szCs w:val="28"/>
        </w:rPr>
        <w:t xml:space="preserve"> регуляторного акта.</w:t>
      </w:r>
    </w:p>
    <w:p w:rsidR="00EE300F" w:rsidRPr="00EE300F" w:rsidRDefault="00EE300F" w:rsidP="00EE30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00F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EE300F" w:rsidRPr="00B00FA9" w:rsidRDefault="00EE300F" w:rsidP="00321B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0FA9">
        <w:rPr>
          <w:rFonts w:ascii="Times New Roman" w:hAnsi="Times New Roman" w:cs="Times New Roman"/>
          <w:sz w:val="28"/>
          <w:szCs w:val="28"/>
          <w:lang w:val="uk-UA"/>
        </w:rPr>
        <w:t>       Термін дії запропонованого регуляторного акта необмежений.</w:t>
      </w:r>
    </w:p>
    <w:p w:rsidR="00EE300F" w:rsidRPr="00B00FA9" w:rsidRDefault="00EE300F" w:rsidP="00321B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0FA9">
        <w:rPr>
          <w:rFonts w:ascii="Times New Roman" w:hAnsi="Times New Roman" w:cs="Times New Roman"/>
          <w:sz w:val="28"/>
          <w:szCs w:val="28"/>
          <w:lang w:val="uk-UA"/>
        </w:rPr>
        <w:t>        Головними зовнішніми чинниками, які впливатимуть на дію регуляторного акта, будуть зміни в законодавчій базі з питань діяльності розповсюджувачів реклами, вимог до розміщення рекламних засобів, інших нормативно-правових актів у сфері надання рекламних послуг.</w:t>
      </w:r>
    </w:p>
    <w:p w:rsidR="00EE300F" w:rsidRPr="00B00FA9" w:rsidRDefault="00EE300F" w:rsidP="00321B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0FA9">
        <w:rPr>
          <w:rFonts w:ascii="Times New Roman" w:hAnsi="Times New Roman" w:cs="Times New Roman"/>
          <w:sz w:val="28"/>
          <w:szCs w:val="28"/>
          <w:lang w:val="uk-UA"/>
        </w:rPr>
        <w:t>         Зазначені чинники мають вплив на результативність дії запропонованого регуляторного акта, тому буде впроваджено постійний моніторинг їх оцінки, за результатами чого в разі необхідності, до запропонованого регуляторного акта будуть внесені відповідні зміни.</w:t>
      </w:r>
    </w:p>
    <w:p w:rsidR="00B00FA9" w:rsidRPr="00B00FA9" w:rsidRDefault="00B00FA9" w:rsidP="00321B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300F" w:rsidRPr="00B00FA9" w:rsidRDefault="00EE300F" w:rsidP="00EE30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00FA9">
        <w:rPr>
          <w:rFonts w:ascii="Times New Roman" w:hAnsi="Times New Roman" w:cs="Times New Roman"/>
          <w:b/>
          <w:bCs/>
          <w:sz w:val="28"/>
          <w:szCs w:val="28"/>
          <w:lang w:val="uk-UA"/>
        </w:rPr>
        <w:t>8. Визначення показників результативності дії регуляторного акта.</w:t>
      </w:r>
    </w:p>
    <w:p w:rsidR="00EE300F" w:rsidRPr="00B00FA9" w:rsidRDefault="00EE300F" w:rsidP="00EE30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00FA9"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</w:p>
    <w:p w:rsidR="00EE300F" w:rsidRPr="00B00FA9" w:rsidRDefault="00EE300F" w:rsidP="00B00FA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00FA9">
        <w:rPr>
          <w:rFonts w:ascii="Times New Roman" w:hAnsi="Times New Roman" w:cs="Times New Roman"/>
          <w:sz w:val="28"/>
          <w:szCs w:val="28"/>
          <w:lang w:val="uk-UA"/>
        </w:rPr>
        <w:t>Прогнозні значення показників результативності дії регуляторного акта:</w:t>
      </w:r>
    </w:p>
    <w:p w:rsidR="00EE300F" w:rsidRPr="00B00FA9" w:rsidRDefault="00EE300F" w:rsidP="00464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0FA9">
        <w:rPr>
          <w:rFonts w:ascii="Times New Roman" w:hAnsi="Times New Roman" w:cs="Times New Roman"/>
          <w:sz w:val="28"/>
          <w:szCs w:val="28"/>
          <w:lang w:val="uk-UA"/>
        </w:rPr>
        <w:t>- розмір надходжень до державного та місцевих бюджетів і державних цільових фондів, пов’язаних з дією акта – відповідні надходження не передбачаються, оскільки дозволи видаватимуться на безкоштовній основі;</w:t>
      </w:r>
    </w:p>
    <w:p w:rsidR="00EE300F" w:rsidRPr="00B00FA9" w:rsidRDefault="00EE300F" w:rsidP="00464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0FA9">
        <w:rPr>
          <w:rFonts w:ascii="Times New Roman" w:hAnsi="Times New Roman" w:cs="Times New Roman"/>
          <w:sz w:val="28"/>
          <w:szCs w:val="28"/>
          <w:lang w:val="uk-UA"/>
        </w:rPr>
        <w:t xml:space="preserve">- кількість суб’єктів господарювання та/або фізичних осіб, на яких </w:t>
      </w:r>
      <w:r w:rsidR="0046405F">
        <w:rPr>
          <w:rFonts w:ascii="Times New Roman" w:hAnsi="Times New Roman" w:cs="Times New Roman"/>
          <w:sz w:val="28"/>
          <w:szCs w:val="28"/>
          <w:lang w:val="uk-UA"/>
        </w:rPr>
        <w:t xml:space="preserve">прогнозовано </w:t>
      </w:r>
      <w:r w:rsidRPr="00B00FA9">
        <w:rPr>
          <w:rFonts w:ascii="Times New Roman" w:hAnsi="Times New Roman" w:cs="Times New Roman"/>
          <w:sz w:val="28"/>
          <w:szCs w:val="28"/>
          <w:lang w:val="uk-UA"/>
        </w:rPr>
        <w:t>поширюватиметься дія акта –</w:t>
      </w:r>
      <w:r w:rsidR="00B00FA9">
        <w:rPr>
          <w:rFonts w:ascii="Times New Roman" w:hAnsi="Times New Roman" w:cs="Times New Roman"/>
          <w:sz w:val="28"/>
          <w:szCs w:val="28"/>
          <w:lang w:val="uk-UA"/>
        </w:rPr>
        <w:t xml:space="preserve"> 28.</w:t>
      </w:r>
    </w:p>
    <w:p w:rsidR="00EE300F" w:rsidRPr="00B00FA9" w:rsidRDefault="00EE300F" w:rsidP="00DB46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0FA9">
        <w:rPr>
          <w:rFonts w:ascii="Times New Roman" w:hAnsi="Times New Roman" w:cs="Times New Roman"/>
          <w:sz w:val="28"/>
          <w:szCs w:val="28"/>
          <w:lang w:val="uk-UA"/>
        </w:rPr>
        <w:t>- рівень поінформованості суб’єктів  господарювання та/або фізичних осіб з основних положень акта – є високим, оскільки регуляторний акт оприлюдню</w:t>
      </w:r>
      <w:r w:rsidR="00B818A0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B00FA9">
        <w:rPr>
          <w:rFonts w:ascii="Times New Roman" w:hAnsi="Times New Roman" w:cs="Times New Roman"/>
          <w:sz w:val="28"/>
          <w:szCs w:val="28"/>
          <w:lang w:val="uk-UA"/>
        </w:rPr>
        <w:t>ться на офіційному сайті облдержадміністрації</w:t>
      </w:r>
      <w:r w:rsidR="0046405F">
        <w:rPr>
          <w:rFonts w:ascii="Times New Roman" w:hAnsi="Times New Roman" w:cs="Times New Roman"/>
          <w:sz w:val="28"/>
          <w:szCs w:val="28"/>
          <w:lang w:val="uk-UA"/>
        </w:rPr>
        <w:t>, а також засобах масової інформації</w:t>
      </w:r>
      <w:r w:rsidRPr="00B00FA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E300F" w:rsidRDefault="00B00FA9" w:rsidP="00B00FA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кількість звернень від суб’єктів господарювання та/або фізичних осіб, на сферу дії яких поширюватиметься регуляторний акт – зазначений показник залежить від кількості звернень від суб’єктів господарювання та/або фізичних осіб, на сферу дії яких  поширюватиметься регуляторний акт.</w:t>
      </w:r>
    </w:p>
    <w:p w:rsidR="00B00FA9" w:rsidRPr="00B00FA9" w:rsidRDefault="00B00FA9" w:rsidP="00B00FA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EE300F" w:rsidRPr="00B00FA9" w:rsidRDefault="00EE300F" w:rsidP="00EE30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00FA9">
        <w:rPr>
          <w:rFonts w:ascii="Times New Roman" w:hAnsi="Times New Roman" w:cs="Times New Roman"/>
          <w:b/>
          <w:bCs/>
          <w:sz w:val="28"/>
          <w:szCs w:val="28"/>
          <w:lang w:val="uk-UA"/>
        </w:rPr>
        <w:t>9. Визначення заходів, за допомогою яких здійснюватиметься відстеження результативності дії регуляторного акта</w:t>
      </w:r>
    </w:p>
    <w:p w:rsidR="00EE300F" w:rsidRPr="00B00FA9" w:rsidRDefault="00EE300F" w:rsidP="00EE30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00FA9"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</w:p>
    <w:p w:rsidR="00B00FA9" w:rsidRPr="00B00FA9" w:rsidRDefault="00EE300F" w:rsidP="00B00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FA9"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 w:rsidR="00B00FA9" w:rsidRPr="00B00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Виконавцем заходів з відстеження результативності проекту розпорядження голови Херсонської обласної державної адміністрації </w:t>
      </w:r>
      <w:r w:rsidR="00974E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затвердження Порядку надання дозволів на розміщення зовнішньої реклами </w:t>
      </w:r>
      <w:r w:rsidR="00974E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поза межами населених пунктів Херсонської області»</w:t>
      </w:r>
      <w:r w:rsidR="00B00FA9" w:rsidRPr="00B00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визначене управління транспорту та зв’язку Херсонської обласної державної адміністрації.</w:t>
      </w:r>
    </w:p>
    <w:p w:rsidR="00B00FA9" w:rsidRPr="00B00FA9" w:rsidRDefault="00B00FA9" w:rsidP="00B00FA9">
      <w:pPr>
        <w:spacing w:after="0" w:line="240" w:lineRule="auto"/>
        <w:ind w:left="57" w:firstLine="6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Базове відстеження результативності вищезазначеного регуляторного акта буде здійснюватись до дати набрання чинності цього акта шляхом збору пропозицій і зауважень та їх аналізу.</w:t>
      </w:r>
    </w:p>
    <w:p w:rsidR="00B00FA9" w:rsidRPr="00B00FA9" w:rsidRDefault="00B00FA9" w:rsidP="00B00FA9">
      <w:pPr>
        <w:spacing w:after="0" w:line="240" w:lineRule="auto"/>
        <w:ind w:left="57" w:firstLine="6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Повторне відстеження – через два роки з дня набрання чинності акту, в результаті якого відбудеться порівняння  показників базового та повторного відстеження. У разі виявлення неврегульованих та проблемних питань шляхом аналізу якісних показників  дії цього акта, ці питання будуть врегульовані шляхом  внесення відповідних змін.</w:t>
      </w:r>
    </w:p>
    <w:p w:rsidR="00B00FA9" w:rsidRPr="00B00FA9" w:rsidRDefault="00B00FA9" w:rsidP="00B00FA9">
      <w:pPr>
        <w:spacing w:after="0" w:line="240" w:lineRule="auto"/>
        <w:ind w:left="57" w:firstLine="6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Періодичне відстеження здійснюватиметься раз на три роки, починаючи з дня виконання заходів з повторного відстеження.</w:t>
      </w:r>
    </w:p>
    <w:p w:rsidR="00974EED" w:rsidRPr="00974EED" w:rsidRDefault="00974EED" w:rsidP="00B00FA9">
      <w:pPr>
        <w:spacing w:after="0" w:line="240" w:lineRule="auto"/>
        <w:ind w:left="57" w:firstLine="6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4E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результатами проведення відстежень буде можливо порівняти показники результативності дії регуляторного акта. У разі виявлення неврегульованих та проблемних питань, вони будуть усунені шляхом внесення відповідних змін до регуляторного акта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00FA9" w:rsidRPr="00B00FA9" w:rsidRDefault="00B00FA9" w:rsidP="00B00FA9">
      <w:pPr>
        <w:spacing w:after="0" w:line="240" w:lineRule="auto"/>
        <w:ind w:left="57" w:firstLine="6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Зауваження та пропозиції до проекту регуляторного акта та відповідного аналізу регуляторного впливу надаються до управління транспорту та зв’язку обласної державної адміністрації за адресою: пл. Свободи,1 м. Херсон, 73000, тел./факс: 22 50 75 (електронна адреса: </w:t>
      </w:r>
      <w:proofErr w:type="spellStart"/>
      <w:r w:rsidRPr="00B00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up</w:t>
      </w:r>
      <w:r w:rsidRPr="00B00F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rpromoda</w:t>
      </w:r>
      <w:proofErr w:type="spellEnd"/>
      <w:r w:rsidRPr="00B00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@</w:t>
      </w:r>
      <w:proofErr w:type="spellStart"/>
      <w:r w:rsidRPr="00B00F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ukr</w:t>
      </w:r>
      <w:proofErr w:type="spellEnd"/>
      <w:r w:rsidRPr="00B00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B00F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net</w:t>
      </w:r>
      <w:r w:rsidRPr="00B00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B00FA9" w:rsidRPr="00B00FA9" w:rsidRDefault="00B00FA9" w:rsidP="00B00FA9">
      <w:pPr>
        <w:spacing w:after="0" w:line="240" w:lineRule="auto"/>
        <w:ind w:left="57" w:firstLine="6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0FA9" w:rsidRPr="00B00FA9" w:rsidRDefault="00B00FA9" w:rsidP="00B00FA9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</w:t>
      </w:r>
    </w:p>
    <w:p w:rsidR="00B00FA9" w:rsidRPr="00B00FA9" w:rsidRDefault="00B00FA9" w:rsidP="00B00FA9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 та зв’язку</w:t>
      </w:r>
    </w:p>
    <w:p w:rsidR="00974EED" w:rsidRDefault="00974EED" w:rsidP="00B00FA9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Херсонської </w:t>
      </w:r>
      <w:r w:rsidR="00B00FA9" w:rsidRPr="00B00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обласної</w:t>
      </w:r>
    </w:p>
    <w:p w:rsidR="00B00FA9" w:rsidRPr="00B00FA9" w:rsidRDefault="00B00FA9" w:rsidP="00B00FA9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державної адміністрації</w:t>
      </w:r>
      <w:r w:rsidRPr="00B00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00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00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00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00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00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В.</w:t>
      </w:r>
      <w:proofErr w:type="spellStart"/>
      <w:r w:rsidRPr="00B00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Соценко</w:t>
      </w:r>
      <w:proofErr w:type="spellEnd"/>
    </w:p>
    <w:p w:rsidR="00974EED" w:rsidRDefault="00974EED" w:rsidP="00B00FA9">
      <w:pPr>
        <w:spacing w:after="0" w:line="240" w:lineRule="auto"/>
        <w:jc w:val="both"/>
        <w:rPr>
          <w:lang w:val="uk-UA"/>
        </w:rPr>
      </w:pPr>
    </w:p>
    <w:p w:rsidR="00974EED" w:rsidRDefault="00974EED" w:rsidP="00B00FA9">
      <w:pPr>
        <w:spacing w:after="0" w:line="240" w:lineRule="auto"/>
        <w:jc w:val="both"/>
        <w:rPr>
          <w:lang w:val="uk-UA"/>
        </w:rPr>
      </w:pPr>
    </w:p>
    <w:p w:rsidR="00974EED" w:rsidRDefault="00974EED" w:rsidP="00B00FA9">
      <w:pPr>
        <w:spacing w:after="0" w:line="240" w:lineRule="auto"/>
        <w:jc w:val="both"/>
        <w:rPr>
          <w:lang w:val="uk-UA"/>
        </w:rPr>
      </w:pPr>
    </w:p>
    <w:p w:rsidR="00974EED" w:rsidRDefault="00974EED" w:rsidP="00B00FA9">
      <w:pPr>
        <w:spacing w:after="0" w:line="240" w:lineRule="auto"/>
        <w:jc w:val="both"/>
        <w:rPr>
          <w:lang w:val="uk-UA"/>
        </w:rPr>
      </w:pPr>
    </w:p>
    <w:p w:rsidR="0046405F" w:rsidRDefault="0046405F" w:rsidP="00C628F6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405F" w:rsidRDefault="0046405F" w:rsidP="00C628F6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405F" w:rsidRDefault="0046405F" w:rsidP="00C628F6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405F" w:rsidRDefault="0046405F" w:rsidP="00C628F6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405F" w:rsidRDefault="0046405F" w:rsidP="00C628F6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405F" w:rsidRDefault="0046405F" w:rsidP="00C628F6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405F" w:rsidRDefault="0046405F" w:rsidP="00C628F6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405F" w:rsidRDefault="0046405F" w:rsidP="00C628F6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405F" w:rsidRDefault="0046405F" w:rsidP="00C628F6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405F" w:rsidRDefault="0046405F" w:rsidP="00C628F6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405F" w:rsidRDefault="0046405F" w:rsidP="00C628F6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405F" w:rsidRDefault="0046405F" w:rsidP="00C628F6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405F" w:rsidRDefault="0046405F" w:rsidP="00C628F6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405F" w:rsidRDefault="0046405F" w:rsidP="00C628F6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405F" w:rsidRDefault="0046405F" w:rsidP="00C628F6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7279" w:rsidRDefault="002A7279" w:rsidP="00C628F6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300F" w:rsidRPr="00DB469E" w:rsidRDefault="00EE300F" w:rsidP="00C628F6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69E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</w:t>
      </w:r>
    </w:p>
    <w:p w:rsidR="00EE300F" w:rsidRDefault="00EE300F" w:rsidP="00C628F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DB469E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DB469E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DB469E">
        <w:rPr>
          <w:rFonts w:ascii="Times New Roman" w:hAnsi="Times New Roman" w:cs="Times New Roman"/>
          <w:sz w:val="28"/>
          <w:szCs w:val="28"/>
        </w:rPr>
        <w:t xml:space="preserve"> регуляторного</w:t>
      </w:r>
      <w:r w:rsidR="00C628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69E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DB46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8F6" w:rsidRPr="00C628F6" w:rsidRDefault="00C628F6" w:rsidP="00C628F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EE300F" w:rsidRPr="00DB469E" w:rsidRDefault="00EE300F" w:rsidP="00DB46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469E">
        <w:rPr>
          <w:rFonts w:ascii="Times New Roman" w:hAnsi="Times New Roman" w:cs="Times New Roman"/>
          <w:b/>
          <w:bCs/>
          <w:sz w:val="28"/>
          <w:szCs w:val="28"/>
        </w:rPr>
        <w:t>ТЕСТ</w:t>
      </w:r>
    </w:p>
    <w:p w:rsidR="00EE300F" w:rsidRPr="00DB469E" w:rsidRDefault="00EE300F" w:rsidP="00DB46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469E">
        <w:rPr>
          <w:rFonts w:ascii="Times New Roman" w:hAnsi="Times New Roman" w:cs="Times New Roman"/>
          <w:b/>
          <w:bCs/>
          <w:sz w:val="28"/>
          <w:szCs w:val="28"/>
        </w:rPr>
        <w:t xml:space="preserve">малого </w:t>
      </w:r>
      <w:proofErr w:type="spellStart"/>
      <w:proofErr w:type="gramStart"/>
      <w:r w:rsidRPr="00DB469E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DB469E">
        <w:rPr>
          <w:rFonts w:ascii="Times New Roman" w:hAnsi="Times New Roman" w:cs="Times New Roman"/>
          <w:b/>
          <w:bCs/>
          <w:sz w:val="28"/>
          <w:szCs w:val="28"/>
        </w:rPr>
        <w:t>ідприємництва</w:t>
      </w:r>
      <w:proofErr w:type="spellEnd"/>
      <w:r w:rsidRPr="00DB469E">
        <w:rPr>
          <w:rFonts w:ascii="Times New Roman" w:hAnsi="Times New Roman" w:cs="Times New Roman"/>
          <w:b/>
          <w:bCs/>
          <w:sz w:val="28"/>
          <w:szCs w:val="28"/>
        </w:rPr>
        <w:t xml:space="preserve"> (М-Тест)</w:t>
      </w:r>
    </w:p>
    <w:p w:rsidR="00EE300F" w:rsidRPr="00DB469E" w:rsidRDefault="00EE300F" w:rsidP="00DB4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69E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EE300F" w:rsidRPr="00DB469E" w:rsidRDefault="00EE300F" w:rsidP="00DB4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69E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DB469E">
        <w:rPr>
          <w:rFonts w:ascii="Times New Roman" w:hAnsi="Times New Roman" w:cs="Times New Roman"/>
          <w:b/>
          <w:bCs/>
          <w:sz w:val="28"/>
          <w:szCs w:val="28"/>
        </w:rPr>
        <w:t>Консультації</w:t>
      </w:r>
      <w:proofErr w:type="spellEnd"/>
      <w:r w:rsidRPr="00DB469E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DB469E">
        <w:rPr>
          <w:rFonts w:ascii="Times New Roman" w:hAnsi="Times New Roman" w:cs="Times New Roman"/>
          <w:b/>
          <w:bCs/>
          <w:sz w:val="28"/>
          <w:szCs w:val="28"/>
        </w:rPr>
        <w:t>представниками</w:t>
      </w:r>
      <w:proofErr w:type="spellEnd"/>
      <w:r w:rsidRPr="00DB46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469E">
        <w:rPr>
          <w:rFonts w:ascii="Times New Roman" w:hAnsi="Times New Roman" w:cs="Times New Roman"/>
          <w:b/>
          <w:bCs/>
          <w:sz w:val="28"/>
          <w:szCs w:val="28"/>
        </w:rPr>
        <w:t>мікр</w:t>
      </w:r>
      <w:proofErr w:type="gramStart"/>
      <w:r w:rsidRPr="00DB469E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spellEnd"/>
      <w:r w:rsidRPr="00DB469E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End"/>
      <w:r w:rsidRPr="00DB469E">
        <w:rPr>
          <w:rFonts w:ascii="Times New Roman" w:hAnsi="Times New Roman" w:cs="Times New Roman"/>
          <w:b/>
          <w:bCs/>
          <w:sz w:val="28"/>
          <w:szCs w:val="28"/>
        </w:rPr>
        <w:t xml:space="preserve"> та малого </w:t>
      </w:r>
      <w:proofErr w:type="spellStart"/>
      <w:r w:rsidRPr="00DB469E">
        <w:rPr>
          <w:rFonts w:ascii="Times New Roman" w:hAnsi="Times New Roman" w:cs="Times New Roman"/>
          <w:b/>
          <w:bCs/>
          <w:sz w:val="28"/>
          <w:szCs w:val="28"/>
        </w:rPr>
        <w:t>підприємництва</w:t>
      </w:r>
      <w:proofErr w:type="spellEnd"/>
      <w:r w:rsidRPr="00DB46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469E">
        <w:rPr>
          <w:rFonts w:ascii="Times New Roman" w:hAnsi="Times New Roman" w:cs="Times New Roman"/>
          <w:b/>
          <w:bCs/>
          <w:sz w:val="28"/>
          <w:szCs w:val="28"/>
        </w:rPr>
        <w:t>щодо</w:t>
      </w:r>
      <w:proofErr w:type="spellEnd"/>
      <w:r w:rsidRPr="00DB46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469E">
        <w:rPr>
          <w:rFonts w:ascii="Times New Roman" w:hAnsi="Times New Roman" w:cs="Times New Roman"/>
          <w:b/>
          <w:bCs/>
          <w:sz w:val="28"/>
          <w:szCs w:val="28"/>
        </w:rPr>
        <w:t>оцінки</w:t>
      </w:r>
      <w:proofErr w:type="spellEnd"/>
      <w:r w:rsidRPr="00DB46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469E">
        <w:rPr>
          <w:rFonts w:ascii="Times New Roman" w:hAnsi="Times New Roman" w:cs="Times New Roman"/>
          <w:b/>
          <w:bCs/>
          <w:sz w:val="28"/>
          <w:szCs w:val="28"/>
        </w:rPr>
        <w:t>впливу</w:t>
      </w:r>
      <w:proofErr w:type="spellEnd"/>
      <w:r w:rsidRPr="00DB46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469E">
        <w:rPr>
          <w:rFonts w:ascii="Times New Roman" w:hAnsi="Times New Roman" w:cs="Times New Roman"/>
          <w:b/>
          <w:bCs/>
          <w:sz w:val="28"/>
          <w:szCs w:val="28"/>
        </w:rPr>
        <w:t>регулювання</w:t>
      </w:r>
      <w:proofErr w:type="spellEnd"/>
      <w:r w:rsidRPr="00DB469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E300F" w:rsidRPr="00DB469E" w:rsidRDefault="00EE300F" w:rsidP="00DB4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69E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EE300F" w:rsidRDefault="00EE300F" w:rsidP="005B2E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69E">
        <w:rPr>
          <w:rFonts w:ascii="Times New Roman" w:hAnsi="Times New Roman" w:cs="Times New Roman"/>
          <w:sz w:val="28"/>
          <w:szCs w:val="28"/>
          <w:lang w:val="uk-UA"/>
        </w:rPr>
        <w:t xml:space="preserve"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необхідно для здійснення регулювання, проведено розробником у період з </w:t>
      </w:r>
      <w:r w:rsidR="00DB469E">
        <w:rPr>
          <w:rFonts w:ascii="Times New Roman" w:hAnsi="Times New Roman" w:cs="Times New Roman"/>
          <w:sz w:val="28"/>
          <w:szCs w:val="28"/>
          <w:lang w:val="uk-UA"/>
        </w:rPr>
        <w:t xml:space="preserve">03 травня </w:t>
      </w:r>
      <w:r w:rsidRPr="00DB469E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DB469E">
        <w:rPr>
          <w:rFonts w:ascii="Times New Roman" w:hAnsi="Times New Roman" w:cs="Times New Roman"/>
          <w:sz w:val="28"/>
          <w:szCs w:val="28"/>
          <w:lang w:val="uk-UA"/>
        </w:rPr>
        <w:t xml:space="preserve">31липня </w:t>
      </w:r>
      <w:r w:rsidRPr="00DB469E">
        <w:rPr>
          <w:rFonts w:ascii="Times New Roman" w:hAnsi="Times New Roman" w:cs="Times New Roman"/>
          <w:sz w:val="28"/>
          <w:szCs w:val="28"/>
          <w:lang w:val="uk-UA"/>
        </w:rPr>
        <w:t>201</w:t>
      </w:r>
      <w:r w:rsidR="00DB469E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DB469E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DB469E" w:rsidRPr="00DB469E" w:rsidRDefault="00DB469E" w:rsidP="00DB469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690"/>
        <w:gridCol w:w="2130"/>
        <w:gridCol w:w="3225"/>
      </w:tblGrid>
      <w:tr w:rsidR="00EE300F" w:rsidRPr="00DB469E" w:rsidTr="00CC7645">
        <w:trPr>
          <w:tblCellSpacing w:w="0" w:type="dxa"/>
        </w:trPr>
        <w:tc>
          <w:tcPr>
            <w:tcW w:w="540" w:type="dxa"/>
            <w:hideMark/>
          </w:tcPr>
          <w:p w:rsidR="00EE300F" w:rsidRPr="00DB469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46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</w:t>
            </w:r>
          </w:p>
          <w:p w:rsidR="00FE62C3" w:rsidRPr="00DB469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B46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зп</w:t>
            </w:r>
            <w:proofErr w:type="spellEnd"/>
          </w:p>
        </w:tc>
        <w:tc>
          <w:tcPr>
            <w:tcW w:w="3690" w:type="dxa"/>
            <w:hideMark/>
          </w:tcPr>
          <w:p w:rsidR="00FE62C3" w:rsidRPr="00DB469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46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Вид консультацій (публічні консультації прямі (кругли столи, наради, робочі зустрічі тощо), </w:t>
            </w:r>
            <w:proofErr w:type="spellStart"/>
            <w:r w:rsidRPr="00DB46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інтернет</w:t>
            </w:r>
            <w:proofErr w:type="spellEnd"/>
            <w:r w:rsidRPr="00DB46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форуми, соціальні мережі тощо), запити (до підприємців, експертів, науковців тощо)</w:t>
            </w:r>
          </w:p>
        </w:tc>
        <w:tc>
          <w:tcPr>
            <w:tcW w:w="2130" w:type="dxa"/>
            <w:hideMark/>
          </w:tcPr>
          <w:p w:rsidR="00FE62C3" w:rsidRPr="00DB469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46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Кількість учасників консультацій, осіб</w:t>
            </w:r>
          </w:p>
        </w:tc>
        <w:tc>
          <w:tcPr>
            <w:tcW w:w="3225" w:type="dxa"/>
            <w:hideMark/>
          </w:tcPr>
          <w:p w:rsidR="00FE62C3" w:rsidRPr="00DB469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46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Основні результати консультацій (опис)</w:t>
            </w:r>
          </w:p>
        </w:tc>
      </w:tr>
      <w:tr w:rsidR="00EE300F" w:rsidRPr="00DB469E" w:rsidTr="00CC7645">
        <w:trPr>
          <w:tblCellSpacing w:w="0" w:type="dxa"/>
        </w:trPr>
        <w:tc>
          <w:tcPr>
            <w:tcW w:w="540" w:type="dxa"/>
            <w:hideMark/>
          </w:tcPr>
          <w:p w:rsidR="00EE300F" w:rsidRPr="00DB469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4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</w:p>
        </w:tc>
        <w:tc>
          <w:tcPr>
            <w:tcW w:w="3690" w:type="dxa"/>
            <w:hideMark/>
          </w:tcPr>
          <w:p w:rsidR="00EE300F" w:rsidRPr="00DB469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4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</w:t>
            </w:r>
            <w:r w:rsidR="00DB4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DB4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зустріч</w:t>
            </w:r>
            <w:r w:rsidR="00DB4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та консультації з керівниками суб’єктів господарювання, що мають намір розмістити об’єкти зовнішньої реклами поза межами населених пунктів Херсонської області</w:t>
            </w:r>
            <w:r w:rsidRPr="00DB4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30" w:type="dxa"/>
            <w:hideMark/>
          </w:tcPr>
          <w:p w:rsidR="00FE62C3" w:rsidRPr="00DB469E" w:rsidRDefault="00DB469E" w:rsidP="00DB4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25" w:type="dxa"/>
            <w:hideMark/>
          </w:tcPr>
          <w:p w:rsidR="00EE300F" w:rsidRPr="00DB469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4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Обговорено проект Порядку. Надано пропозиції щодо вдосконалення проекту. </w:t>
            </w:r>
          </w:p>
        </w:tc>
      </w:tr>
      <w:tr w:rsidR="00EE300F" w:rsidRPr="00DB469E" w:rsidTr="00CC7645">
        <w:trPr>
          <w:tblCellSpacing w:w="0" w:type="dxa"/>
        </w:trPr>
        <w:tc>
          <w:tcPr>
            <w:tcW w:w="540" w:type="dxa"/>
            <w:hideMark/>
          </w:tcPr>
          <w:p w:rsidR="00EE300F" w:rsidRPr="00DB469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4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</w:t>
            </w:r>
          </w:p>
        </w:tc>
        <w:tc>
          <w:tcPr>
            <w:tcW w:w="3690" w:type="dxa"/>
            <w:hideMark/>
          </w:tcPr>
          <w:p w:rsidR="00EE300F" w:rsidRPr="00DB469E" w:rsidRDefault="00DB469E" w:rsidP="00DB46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Нарада за участю представників Служби автомобільних доріг в області, Чорноморського міжрегіонального управління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Укртрансбезпеки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управління патрульної поліції в Херсонській області</w:t>
            </w:r>
            <w:r w:rsidR="00EE300F" w:rsidRPr="00DB4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30" w:type="dxa"/>
            <w:hideMark/>
          </w:tcPr>
          <w:p w:rsidR="00FE62C3" w:rsidRPr="00DB469E" w:rsidRDefault="00B442A9" w:rsidP="00B4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5" w:type="dxa"/>
            <w:hideMark/>
          </w:tcPr>
          <w:p w:rsidR="00EE300F" w:rsidRPr="00DB469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4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Обговорено проект Порядку. </w:t>
            </w:r>
            <w:r w:rsidR="00DB4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Враховано необхідність дотримання вимог</w:t>
            </w:r>
            <w:r w:rsidRPr="00DB4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B4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безпеки руху при розміщенні об’єктів зовнішньої реклами </w:t>
            </w:r>
          </w:p>
        </w:tc>
      </w:tr>
    </w:tbl>
    <w:p w:rsidR="00DB469E" w:rsidRDefault="00DB469E" w:rsidP="00DB46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E300F" w:rsidRPr="00DB469E" w:rsidRDefault="00EE300F" w:rsidP="00DB469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DB469E">
        <w:rPr>
          <w:rFonts w:ascii="Times New Roman" w:hAnsi="Times New Roman" w:cs="Times New Roman"/>
          <w:b/>
          <w:bCs/>
          <w:sz w:val="28"/>
          <w:szCs w:val="28"/>
          <w:lang w:val="uk-UA"/>
        </w:rPr>
        <w:t>2. Вимірювання впливу регулювання на суб’єктів малого підприємництва (</w:t>
      </w:r>
      <w:proofErr w:type="spellStart"/>
      <w:r w:rsidRPr="00DB469E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мікро-</w:t>
      </w:r>
      <w:proofErr w:type="spellEnd"/>
      <w:r w:rsidRPr="00DB46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малі):</w:t>
      </w:r>
    </w:p>
    <w:p w:rsidR="00EE300F" w:rsidRPr="00DB469E" w:rsidRDefault="00EE300F" w:rsidP="00DB46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B469E">
        <w:rPr>
          <w:rFonts w:ascii="Times New Roman" w:hAnsi="Times New Roman" w:cs="Times New Roman"/>
          <w:b/>
          <w:bCs/>
          <w:sz w:val="28"/>
          <w:szCs w:val="28"/>
          <w:lang w:val="uk-UA"/>
        </w:rPr>
        <w:t>          </w:t>
      </w:r>
      <w:r w:rsidRPr="00DB469E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суб’єктів малого підприємництва, на яких поширюється регулювання: </w:t>
      </w:r>
      <w:r w:rsidR="00DB469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B469E">
        <w:rPr>
          <w:rFonts w:ascii="Times New Roman" w:hAnsi="Times New Roman" w:cs="Times New Roman"/>
          <w:sz w:val="28"/>
          <w:szCs w:val="28"/>
          <w:lang w:val="uk-UA"/>
        </w:rPr>
        <w:t xml:space="preserve">8 (одиниць), у тому числі </w:t>
      </w:r>
      <w:r w:rsidR="00DB469E">
        <w:rPr>
          <w:rFonts w:ascii="Times New Roman" w:hAnsi="Times New Roman" w:cs="Times New Roman"/>
          <w:sz w:val="28"/>
          <w:szCs w:val="28"/>
          <w:lang w:val="uk-UA"/>
        </w:rPr>
        <w:t xml:space="preserve">малі </w:t>
      </w:r>
      <w:r w:rsidRPr="00DB469E">
        <w:rPr>
          <w:rFonts w:ascii="Times New Roman" w:hAnsi="Times New Roman" w:cs="Times New Roman"/>
          <w:sz w:val="28"/>
          <w:szCs w:val="28"/>
          <w:lang w:val="uk-UA"/>
        </w:rPr>
        <w:t>підприємництва –</w:t>
      </w:r>
      <w:r w:rsidR="00B442A9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DB469E">
        <w:rPr>
          <w:rFonts w:ascii="Times New Roman" w:hAnsi="Times New Roman" w:cs="Times New Roman"/>
          <w:sz w:val="28"/>
          <w:szCs w:val="28"/>
          <w:lang w:val="uk-UA"/>
        </w:rPr>
        <w:t xml:space="preserve"> (одиниць).</w:t>
      </w:r>
    </w:p>
    <w:p w:rsidR="00EE300F" w:rsidRDefault="00EE300F" w:rsidP="00C62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69E">
        <w:rPr>
          <w:rFonts w:ascii="Times New Roman" w:hAnsi="Times New Roman" w:cs="Times New Roman"/>
          <w:sz w:val="28"/>
          <w:szCs w:val="28"/>
          <w:lang w:val="uk-UA"/>
        </w:rPr>
        <w:t xml:space="preserve">         Питома вага суб’єктів малого підприємництва у загальній кількості суб’єктів господарювання на яких проблема справляє вплив </w:t>
      </w:r>
      <w:r w:rsidR="00B442A9">
        <w:rPr>
          <w:rFonts w:ascii="Times New Roman" w:hAnsi="Times New Roman" w:cs="Times New Roman"/>
          <w:sz w:val="28"/>
          <w:szCs w:val="28"/>
          <w:lang w:val="uk-UA"/>
        </w:rPr>
        <w:t>65</w:t>
      </w:r>
      <w:r w:rsidRPr="00DB469E">
        <w:rPr>
          <w:rFonts w:ascii="Times New Roman" w:hAnsi="Times New Roman" w:cs="Times New Roman"/>
          <w:sz w:val="28"/>
          <w:szCs w:val="28"/>
          <w:lang w:val="uk-UA"/>
        </w:rPr>
        <w:t xml:space="preserve">% (відповідно до </w:t>
      </w:r>
      <w:r w:rsidRPr="00DB469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таблиці </w:t>
      </w:r>
      <w:r w:rsidR="00B442A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B469E">
        <w:rPr>
          <w:rFonts w:ascii="Times New Roman" w:hAnsi="Times New Roman" w:cs="Times New Roman"/>
          <w:sz w:val="28"/>
          <w:szCs w:val="28"/>
          <w:lang w:val="uk-UA"/>
        </w:rPr>
        <w:t>Оцінка впливу на сферу інтересів суб’єктів господарювання</w:t>
      </w:r>
      <w:r w:rsidR="00B442A9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DB46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42A9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DB469E">
        <w:rPr>
          <w:rFonts w:ascii="Times New Roman" w:hAnsi="Times New Roman" w:cs="Times New Roman"/>
          <w:sz w:val="28"/>
          <w:szCs w:val="28"/>
          <w:lang w:val="uk-UA"/>
        </w:rPr>
        <w:t>додатк</w:t>
      </w:r>
      <w:r w:rsidR="00B442A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B469E">
        <w:rPr>
          <w:rFonts w:ascii="Times New Roman" w:hAnsi="Times New Roman" w:cs="Times New Roman"/>
          <w:sz w:val="28"/>
          <w:szCs w:val="28"/>
          <w:lang w:val="uk-UA"/>
        </w:rPr>
        <w:t xml:space="preserve"> 1 до Методики проведення аналізу впливу регуляторного акта).</w:t>
      </w:r>
    </w:p>
    <w:p w:rsidR="00B442A9" w:rsidRPr="00DB469E" w:rsidRDefault="00B442A9" w:rsidP="00DB46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E300F" w:rsidRDefault="00EE300F" w:rsidP="00B442A9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B469E">
        <w:rPr>
          <w:rFonts w:ascii="Times New Roman" w:hAnsi="Times New Roman" w:cs="Times New Roman"/>
          <w:b/>
          <w:bCs/>
          <w:sz w:val="28"/>
          <w:szCs w:val="28"/>
          <w:lang w:val="uk-UA"/>
        </w:rPr>
        <w:t>3. Розрахунок витрат суб’єктів малого підприємництва на виконання вимог регулювання</w:t>
      </w:r>
    </w:p>
    <w:tbl>
      <w:tblPr>
        <w:tblW w:w="5100" w:type="pct"/>
        <w:tblInd w:w="-16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ook w:val="00A0" w:firstRow="1" w:lastRow="0" w:firstColumn="1" w:lastColumn="0" w:noHBand="0" w:noVBand="0"/>
      </w:tblPr>
      <w:tblGrid>
        <w:gridCol w:w="1323"/>
        <w:gridCol w:w="2413"/>
        <w:gridCol w:w="50"/>
        <w:gridCol w:w="1220"/>
        <w:gridCol w:w="47"/>
        <w:gridCol w:w="907"/>
        <w:gridCol w:w="32"/>
        <w:gridCol w:w="899"/>
        <w:gridCol w:w="30"/>
        <w:gridCol w:w="968"/>
        <w:gridCol w:w="968"/>
        <w:gridCol w:w="1004"/>
      </w:tblGrid>
      <w:tr w:rsidR="000545FB" w:rsidRPr="00155C64" w:rsidTr="00C628F6">
        <w:trPr>
          <w:trHeight w:val="509"/>
        </w:trPr>
        <w:tc>
          <w:tcPr>
            <w:tcW w:w="671" w:type="pct"/>
            <w:vMerge w:val="restar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EE300F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DB46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 </w:t>
            </w:r>
            <w:r w:rsidR="00155C64" w:rsidRPr="00155C64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uk-UA"/>
              </w:rPr>
              <w:t>Порядковий номер</w:t>
            </w:r>
          </w:p>
        </w:tc>
        <w:tc>
          <w:tcPr>
            <w:tcW w:w="1224" w:type="pct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uk-UA"/>
              </w:rPr>
              <w:t>Найменування оцінки</w:t>
            </w:r>
          </w:p>
        </w:tc>
        <w:tc>
          <w:tcPr>
            <w:tcW w:w="668" w:type="pct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uk-UA"/>
              </w:rPr>
              <w:t xml:space="preserve">У перший рік (стартовий рік </w:t>
            </w:r>
            <w:proofErr w:type="spellStart"/>
            <w:r w:rsidRPr="00155C64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uk-UA"/>
              </w:rPr>
              <w:t>впровад-ження</w:t>
            </w:r>
            <w:proofErr w:type="spellEnd"/>
            <w:r w:rsidRPr="00155C64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155C64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uk-UA"/>
              </w:rPr>
              <w:t>регулюван-ня</w:t>
            </w:r>
            <w:proofErr w:type="spellEnd"/>
            <w:r w:rsidRPr="00155C64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928" w:type="pct"/>
            <w:gridSpan w:val="6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uk-UA"/>
              </w:rPr>
              <w:t xml:space="preserve">Періодичні 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uk-UA"/>
              </w:rPr>
              <w:t xml:space="preserve">Витрати за </w:t>
            </w:r>
            <w:r w:rsidRPr="00155C64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uk-UA"/>
              </w:rPr>
              <w:br/>
              <w:t>п’ять років</w:t>
            </w:r>
          </w:p>
        </w:tc>
      </w:tr>
      <w:tr w:rsidR="00155C64" w:rsidRPr="00155C64" w:rsidTr="00C628F6">
        <w:trPr>
          <w:cantSplit/>
          <w:trHeight w:val="1134"/>
        </w:trPr>
        <w:tc>
          <w:tcPr>
            <w:tcW w:w="0" w:type="auto"/>
            <w:vMerge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155C64" w:rsidRPr="00155C64" w:rsidRDefault="00155C64" w:rsidP="00155C6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155C64" w:rsidRPr="00155C64" w:rsidRDefault="00155C64" w:rsidP="00155C6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155C64" w:rsidRPr="00155C64" w:rsidRDefault="00155C64" w:rsidP="00155C6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uk-UA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uk-UA"/>
              </w:rPr>
              <w:t>у другий рік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hideMark/>
          </w:tcPr>
          <w:p w:rsidR="00155C64" w:rsidRPr="00155C64" w:rsidRDefault="00155C64" w:rsidP="00155C64">
            <w:pPr>
              <w:spacing w:after="0" w:line="240" w:lineRule="auto"/>
              <w:ind w:right="113"/>
              <w:rPr>
                <w:rFonts w:ascii="Calibri" w:eastAsia="Calibri" w:hAnsi="Calibri" w:cs="Times New Roman"/>
                <w:lang w:val="uk-UA"/>
              </w:rPr>
            </w:pPr>
            <w:r w:rsidRPr="00155C64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uk-UA"/>
              </w:rPr>
              <w:t>у третій рік</w:t>
            </w:r>
          </w:p>
        </w:tc>
        <w:tc>
          <w:tcPr>
            <w:tcW w:w="49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hideMark/>
          </w:tcPr>
          <w:p w:rsidR="00155C64" w:rsidRPr="00155C64" w:rsidRDefault="00155C64" w:rsidP="00155C64">
            <w:pPr>
              <w:spacing w:after="0" w:line="240" w:lineRule="auto"/>
              <w:ind w:right="113"/>
              <w:rPr>
                <w:rFonts w:ascii="Calibri" w:eastAsia="Calibri" w:hAnsi="Calibri" w:cs="Times New Roman"/>
                <w:lang w:val="uk-UA"/>
              </w:rPr>
            </w:pPr>
            <w:r w:rsidRPr="00155C64">
              <w:rPr>
                <w:rFonts w:ascii="Times New Roman" w:eastAsia="Calibri" w:hAnsi="Times New Roman" w:cs="Times New Roman"/>
                <w:i/>
                <w:sz w:val="18"/>
                <w:szCs w:val="18"/>
                <w:lang w:val="uk-UA" w:eastAsia="uk-UA"/>
              </w:rPr>
              <w:t>у четвертий</w:t>
            </w:r>
            <w:r w:rsidRPr="00155C64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uk-UA"/>
              </w:rPr>
              <w:t xml:space="preserve">  рік</w:t>
            </w:r>
          </w:p>
        </w:tc>
        <w:tc>
          <w:tcPr>
            <w:tcW w:w="491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hideMark/>
          </w:tcPr>
          <w:p w:rsidR="00155C64" w:rsidRPr="00155C64" w:rsidRDefault="00155C64" w:rsidP="00155C64">
            <w:pPr>
              <w:spacing w:after="0" w:line="240" w:lineRule="auto"/>
              <w:ind w:right="113"/>
              <w:rPr>
                <w:rFonts w:ascii="Calibri" w:eastAsia="Calibri" w:hAnsi="Calibri" w:cs="Times New Roman"/>
                <w:lang w:val="uk-UA"/>
              </w:rPr>
            </w:pPr>
            <w:r w:rsidRPr="00155C64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uk-UA"/>
              </w:rPr>
              <w:t>у п’ятий  рік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C64" w:rsidRPr="00155C64" w:rsidRDefault="00155C64" w:rsidP="00155C6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0545FB" w:rsidRPr="00155C64" w:rsidTr="00C628F6">
        <w:trPr>
          <w:trHeight w:val="259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24" w:type="pct"/>
            <w:tcBorders>
              <w:top w:val="nil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68" w:type="pct"/>
            <w:gridSpan w:val="3"/>
            <w:tcBorders>
              <w:top w:val="nil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9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491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09" w:type="pct"/>
            <w:tcBorders>
              <w:top w:val="nil"/>
              <w:left w:val="outset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155C64" w:rsidRPr="00155C64" w:rsidTr="00155C64">
        <w:trPr>
          <w:trHeight w:val="1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5C64" w:rsidRPr="00155C64" w:rsidRDefault="00155C64" w:rsidP="00155C64">
            <w:pPr>
              <w:spacing w:after="0" w:line="15" w:lineRule="atLeast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Оцінка “прямих” витрат суб’єктів малого підприємництва на виконання регулювання</w:t>
            </w:r>
          </w:p>
        </w:tc>
      </w:tr>
      <w:tr w:rsidR="00155C64" w:rsidRPr="00155C64" w:rsidTr="00C628F6">
        <w:trPr>
          <w:trHeight w:val="15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5C64" w:rsidRPr="00155C64" w:rsidRDefault="00155C64" w:rsidP="00155C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Придбання необхідного обладнання (пристроїв, машин, механізмів)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55C64" w:rsidRPr="00155C64" w:rsidTr="00C628F6">
        <w:trPr>
          <w:trHeight w:val="1245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5C64" w:rsidRPr="00155C64" w:rsidRDefault="00155C64" w:rsidP="00155C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55C64" w:rsidRPr="00155C64" w:rsidTr="00C628F6">
        <w:trPr>
          <w:trHeight w:val="929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5C64" w:rsidRPr="00155C64" w:rsidRDefault="00155C64" w:rsidP="00155C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Процедури експлуатації </w:t>
            </w:r>
          </w:p>
          <w:p w:rsidR="00155C64" w:rsidRPr="00155C64" w:rsidRDefault="00155C64" w:rsidP="00155C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обладнання (експлуатаційні витрати - витратні матеріали)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55C64" w:rsidRPr="00155C64" w:rsidTr="00C628F6">
        <w:trPr>
          <w:trHeight w:val="875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5C64" w:rsidRPr="00155C64" w:rsidRDefault="00155C64" w:rsidP="00155C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Процедури обслуговування обладнання (технічне обслуговування)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9C2A9E" w:rsidRPr="00155C64" w:rsidTr="00C628F6">
        <w:trPr>
          <w:trHeight w:val="555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A9E" w:rsidRPr="00155C64" w:rsidRDefault="009C2A9E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2A9E" w:rsidRPr="00155C64" w:rsidRDefault="009C2A9E" w:rsidP="00155C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Інші процедури (витрати на придбання штампів для проставлення відміток про  постановку маломірних суден, інших плавзасобів на облік)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A9E" w:rsidRPr="00155C64" w:rsidRDefault="009C2A9E" w:rsidP="00C628F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A9E" w:rsidRPr="00155C64" w:rsidRDefault="009C2A9E" w:rsidP="00C628F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A9E" w:rsidRPr="00155C64" w:rsidRDefault="009C2A9E" w:rsidP="00C628F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A9E" w:rsidRPr="00155C64" w:rsidRDefault="009C2A9E" w:rsidP="00C628F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A9E" w:rsidRPr="00155C64" w:rsidRDefault="009C2A9E" w:rsidP="00C628F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A9E" w:rsidRPr="00155C64" w:rsidRDefault="009C2A9E" w:rsidP="00C628F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9C2A9E" w:rsidRPr="00155C64" w:rsidTr="00C628F6">
        <w:trPr>
          <w:trHeight w:val="735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A9E" w:rsidRPr="00155C64" w:rsidRDefault="009C2A9E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2A9E" w:rsidRPr="00155C64" w:rsidRDefault="009C2A9E" w:rsidP="00155C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Разом, гривень (сума рядків 1+2+3+4+5)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A9E" w:rsidRPr="00155C64" w:rsidRDefault="009C2A9E" w:rsidP="00C628F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A9E" w:rsidRPr="00155C64" w:rsidRDefault="009C2A9E" w:rsidP="00C628F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A9E" w:rsidRPr="00155C64" w:rsidRDefault="009C2A9E" w:rsidP="00C628F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A9E" w:rsidRPr="00155C64" w:rsidRDefault="009C2A9E" w:rsidP="00C628F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A9E" w:rsidRPr="00155C64" w:rsidRDefault="009C2A9E" w:rsidP="00C628F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A9E" w:rsidRPr="00155C64" w:rsidRDefault="009C2A9E" w:rsidP="00C628F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9C2A9E" w:rsidRPr="00155C64" w:rsidTr="00C628F6">
        <w:trPr>
          <w:trHeight w:val="1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A9E" w:rsidRPr="00155C64" w:rsidRDefault="00C628F6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2A9E" w:rsidRPr="00155C64" w:rsidRDefault="009C2A9E" w:rsidP="00C628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Сумарно гривень, на всі суб’єкти малого підприємництва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A9E" w:rsidRPr="00155C64" w:rsidRDefault="009C2A9E" w:rsidP="00C628F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A9E" w:rsidRPr="00155C64" w:rsidRDefault="009C2A9E" w:rsidP="00C628F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A9E" w:rsidRPr="00155C64" w:rsidRDefault="009C2A9E" w:rsidP="00C628F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A9E" w:rsidRPr="00155C64" w:rsidRDefault="009C2A9E" w:rsidP="00C628F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A9E" w:rsidRPr="00155C64" w:rsidRDefault="009C2A9E" w:rsidP="00C628F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A9E" w:rsidRPr="00155C64" w:rsidRDefault="009C2A9E" w:rsidP="00C628F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55C64" w:rsidRPr="00C628F6" w:rsidTr="00155C64">
        <w:trPr>
          <w:trHeight w:val="19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F6" w:rsidRDefault="00C628F6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Оцінка вартості адміністративних процедур суб’єктів малого бізнесу щодо виконання регулювання та звітування</w:t>
            </w:r>
          </w:p>
        </w:tc>
      </w:tr>
      <w:tr w:rsidR="00155C64" w:rsidRPr="00155C64" w:rsidTr="00155C64">
        <w:trPr>
          <w:trHeight w:val="19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uk-UA"/>
              </w:rPr>
              <w:t>Розрахунок вартості одного людино-дня</w:t>
            </w:r>
          </w:p>
          <w:p w:rsidR="00155C64" w:rsidRPr="00155C64" w:rsidRDefault="009C2A9E" w:rsidP="009C2A9E">
            <w:pPr>
              <w:spacing w:before="100" w:beforeAutospacing="1" w:after="100" w:afterAutospacing="1" w:line="15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9C2A9E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  За даними Головного управління статистики у Херсонській області,  середньомісячна заробітна плата на одного штатного працівника за перше півріччя 2018 року становила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           </w:t>
            </w:r>
            <w:r w:rsidRPr="009C2A9E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6664,0 грн. Таким чином, середня денна заробітна плата становить  6664/22 =302,91 грн.</w:t>
            </w:r>
          </w:p>
        </w:tc>
      </w:tr>
      <w:tr w:rsidR="000545FB" w:rsidRPr="00155C64" w:rsidTr="00C628F6">
        <w:trPr>
          <w:trHeight w:val="195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5C64" w:rsidRPr="00155C64" w:rsidRDefault="00155C64" w:rsidP="00155C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0545FB" w:rsidRPr="00155C64" w:rsidTr="00C628F6">
        <w:trPr>
          <w:cantSplit/>
          <w:trHeight w:val="1914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2A9E" w:rsidRDefault="009C2A9E" w:rsidP="009C2A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9C2A9E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Процедури отримання первинної інформації про вимоги регулювання як управлінський процес для одного об’єкта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               </w:t>
            </w:r>
            <w:r w:rsidRPr="009C2A9E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0,25 дні *302,91*1 </w:t>
            </w:r>
            <w:proofErr w:type="spellStart"/>
            <w:r w:rsidRPr="009C2A9E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працівник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=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                    75</w:t>
            </w:r>
            <w:r w:rsidRPr="009C2A9E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,73 грн. </w:t>
            </w:r>
          </w:p>
          <w:p w:rsidR="00155C64" w:rsidRPr="00155C64" w:rsidRDefault="00155C64" w:rsidP="009C2A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uk-UA"/>
              </w:rPr>
              <w:t xml:space="preserve">У </w:t>
            </w:r>
            <w:r w:rsidR="009C2A9E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uk-UA"/>
              </w:rPr>
              <w:t>стовпчиках</w:t>
            </w:r>
            <w:r w:rsidRPr="00155C64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uk-UA"/>
              </w:rPr>
              <w:t xml:space="preserve"> 3-8  обсяг коштів визначено шляхом помноження на кількість суб’єктів господарювання</w:t>
            </w: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                                               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9C2A9E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1363,14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155C64" w:rsidRPr="00155C64" w:rsidRDefault="009C2A9E" w:rsidP="00155C64">
            <w:pPr>
              <w:spacing w:before="100" w:beforeAutospacing="1" w:after="100" w:afterAutospacing="1" w:line="15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605,84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155C64" w:rsidRPr="00155C64" w:rsidRDefault="009C2A9E" w:rsidP="00155C64">
            <w:pPr>
              <w:spacing w:before="100" w:beforeAutospacing="1" w:after="100" w:afterAutospacing="1" w:line="15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454,38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155C64" w:rsidRPr="00155C64" w:rsidRDefault="009C2A9E" w:rsidP="00155C64">
            <w:pPr>
              <w:spacing w:before="100" w:beforeAutospacing="1" w:after="100" w:afterAutospacing="1" w:line="15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454,38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155C64" w:rsidRPr="00155C64" w:rsidRDefault="009C2A9E" w:rsidP="00155C64">
            <w:pPr>
              <w:spacing w:before="100" w:beforeAutospacing="1" w:after="100" w:afterAutospacing="1" w:line="15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530,11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155C64" w:rsidRPr="00155C64" w:rsidRDefault="009C2A9E" w:rsidP="00155C64">
            <w:pPr>
              <w:spacing w:before="100" w:beforeAutospacing="1" w:after="100" w:afterAutospacing="1" w:line="15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3407,85</w:t>
            </w:r>
          </w:p>
        </w:tc>
      </w:tr>
      <w:tr w:rsidR="00155C64" w:rsidRPr="00155C64" w:rsidTr="00C628F6">
        <w:trPr>
          <w:trHeight w:val="300"/>
        </w:trPr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5C64" w:rsidRPr="00155C64" w:rsidRDefault="00155C64" w:rsidP="00155C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Процедури організації виконання вимог регулювання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</w:p>
        </w:tc>
      </w:tr>
      <w:tr w:rsidR="005C0B5E" w:rsidRPr="00155C64" w:rsidTr="00C628F6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C0B5E" w:rsidRPr="00155C64" w:rsidRDefault="005C0B5E" w:rsidP="00155C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49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0B5E" w:rsidRPr="00155C64" w:rsidRDefault="005C0B5E" w:rsidP="000545FB">
            <w:pPr>
              <w:tabs>
                <w:tab w:val="left" w:pos="0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9C2A9E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Процедура організації виконання вимог регулювання. </w:t>
            </w:r>
            <w:r w:rsidRPr="009C2A9E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br/>
            </w:r>
            <w:r w:rsidRPr="000545FB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У середньому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                     </w:t>
            </w:r>
            <w:r w:rsidRPr="000545FB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1 робочий день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br/>
            </w:r>
            <w:r w:rsidRPr="009C2A9E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Припускаємо, що один суб’єкт господарювання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протягом</w:t>
            </w:r>
            <w:r w:rsidRPr="009C2A9E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року</w:t>
            </w:r>
            <w:r w:rsidRPr="009C2A9E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років в середньому отримає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9C2A9E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дозв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іл</w:t>
            </w:r>
          </w:p>
          <w:p w:rsidR="005C0B5E" w:rsidRPr="00155C64" w:rsidRDefault="005C0B5E" w:rsidP="000545FB">
            <w:pPr>
              <w:tabs>
                <w:tab w:val="left" w:pos="400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0B5E" w:rsidRPr="00155C64" w:rsidRDefault="005C0B5E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5452,38</w:t>
            </w:r>
          </w:p>
        </w:tc>
        <w:tc>
          <w:tcPr>
            <w:tcW w:w="1952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0B5E" w:rsidRPr="00155C64" w:rsidRDefault="005C0B5E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5C0B5E" w:rsidRPr="00155C64" w:rsidRDefault="005C0B5E" w:rsidP="00155C64">
            <w:pPr>
              <w:spacing w:before="100" w:beforeAutospacing="1" w:after="100" w:afterAutospacing="1" w:line="15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13630,95</w:t>
            </w:r>
          </w:p>
        </w:tc>
      </w:tr>
      <w:tr w:rsidR="005C0B5E" w:rsidRPr="00155C64" w:rsidTr="00C628F6">
        <w:trPr>
          <w:trHeight w:val="2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C0B5E" w:rsidRPr="00155C64" w:rsidRDefault="005C0B5E" w:rsidP="00155C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B5E" w:rsidRPr="00155C64" w:rsidRDefault="005C0B5E" w:rsidP="00155C64">
            <w:pPr>
              <w:numPr>
                <w:ilvl w:val="0"/>
                <w:numId w:val="3"/>
              </w:numPr>
              <w:tabs>
                <w:tab w:val="left" w:pos="400"/>
              </w:tabs>
              <w:spacing w:before="100" w:beforeAutospacing="1" w:after="100" w:afterAutospacing="1" w:line="240" w:lineRule="auto"/>
              <w:ind w:left="0" w:hanging="1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B5E" w:rsidRPr="00155C64" w:rsidRDefault="005C0B5E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4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0B5E" w:rsidRPr="00155C64" w:rsidRDefault="005C0B5E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8</w:t>
            </w: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од.</w:t>
            </w:r>
          </w:p>
          <w:p w:rsidR="005C0B5E" w:rsidRPr="00155C64" w:rsidRDefault="005C0B5E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2423,28</w:t>
            </w:r>
          </w:p>
          <w:p w:rsidR="005C0B5E" w:rsidRPr="00155C64" w:rsidRDefault="005C0B5E" w:rsidP="000545FB">
            <w:pPr>
              <w:spacing w:before="100" w:beforeAutospacing="1" w:after="100" w:afterAutospacing="1" w:line="15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48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0B5E" w:rsidRPr="00155C64" w:rsidRDefault="005C0B5E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6</w:t>
            </w: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од.</w:t>
            </w:r>
          </w:p>
          <w:p w:rsidR="005C0B5E" w:rsidRPr="00155C64" w:rsidRDefault="005C0B5E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1817,46</w:t>
            </w:r>
          </w:p>
          <w:p w:rsidR="005C0B5E" w:rsidRPr="00155C64" w:rsidRDefault="005C0B5E" w:rsidP="00155C64">
            <w:pPr>
              <w:spacing w:before="100" w:beforeAutospacing="1" w:after="100" w:afterAutospacing="1" w:line="15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0B5E" w:rsidRPr="00155C64" w:rsidRDefault="00237EC1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6</w:t>
            </w:r>
            <w:r w:rsidR="005C0B5E"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д.</w:t>
            </w:r>
          </w:p>
          <w:p w:rsidR="005C0B5E" w:rsidRPr="00155C64" w:rsidRDefault="005C0B5E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1817,46</w:t>
            </w:r>
          </w:p>
          <w:p w:rsidR="005C0B5E" w:rsidRPr="00155C64" w:rsidRDefault="005C0B5E" w:rsidP="00155C64">
            <w:pPr>
              <w:spacing w:before="100" w:beforeAutospacing="1" w:after="100" w:afterAutospacing="1" w:line="15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0B5E" w:rsidRPr="00155C64" w:rsidRDefault="00237EC1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7</w:t>
            </w:r>
            <w:r w:rsidR="005C0B5E"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од.</w:t>
            </w:r>
          </w:p>
          <w:p w:rsidR="005C0B5E" w:rsidRPr="00155C64" w:rsidRDefault="005C0B5E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2120,37</w:t>
            </w:r>
          </w:p>
          <w:p w:rsidR="005C0B5E" w:rsidRPr="00155C64" w:rsidRDefault="005C0B5E" w:rsidP="00155C64">
            <w:pPr>
              <w:spacing w:before="100" w:beforeAutospacing="1" w:after="100" w:afterAutospacing="1" w:line="15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B5E" w:rsidRPr="00155C64" w:rsidRDefault="005C0B5E" w:rsidP="00155C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155C64" w:rsidRPr="00155C64" w:rsidTr="00C628F6">
        <w:trPr>
          <w:trHeight w:val="195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5C64" w:rsidRPr="00155C64" w:rsidRDefault="00155C64" w:rsidP="00155C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Процедури офіційного звітування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0545FB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0545FB" w:rsidRPr="00155C64" w:rsidTr="00C628F6">
        <w:trPr>
          <w:cantSplit/>
          <w:trHeight w:val="1134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45FB" w:rsidRPr="00155C64" w:rsidRDefault="000545FB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45FB" w:rsidRPr="00155C64" w:rsidRDefault="000545FB" w:rsidP="00155C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Процедури щодо забезпечення </w:t>
            </w:r>
          </w:p>
          <w:p w:rsidR="000545FB" w:rsidRPr="00155C64" w:rsidRDefault="000545FB" w:rsidP="000545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процесу перевірок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45FB" w:rsidRPr="00155C64" w:rsidRDefault="000545FB" w:rsidP="00C628F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45FB" w:rsidRPr="00155C64" w:rsidRDefault="000545FB" w:rsidP="00C628F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45FB" w:rsidRPr="00155C64" w:rsidRDefault="000545FB" w:rsidP="00C628F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45FB" w:rsidRPr="00155C64" w:rsidRDefault="000545FB" w:rsidP="00C628F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45FB" w:rsidRPr="00155C64" w:rsidRDefault="000545FB" w:rsidP="00C628F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45FB" w:rsidRPr="00155C64" w:rsidRDefault="000545FB" w:rsidP="00C628F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155C64" w:rsidRPr="00155C64" w:rsidTr="00C628F6">
        <w:trPr>
          <w:trHeight w:val="30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5C64" w:rsidRPr="00155C64" w:rsidRDefault="00155C64" w:rsidP="00155C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Інші процедури </w:t>
            </w:r>
          </w:p>
          <w:p w:rsidR="00155C64" w:rsidRPr="00155C64" w:rsidRDefault="00155C64" w:rsidP="00155C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C64" w:rsidRPr="00155C64" w:rsidRDefault="00155C64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0545FB" w:rsidRPr="00155C64" w:rsidTr="00C628F6">
        <w:trPr>
          <w:trHeight w:val="495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45FB" w:rsidRPr="00155C64" w:rsidRDefault="000545FB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lastRenderedPageBreak/>
              <w:t>14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45FB" w:rsidRPr="00155C64" w:rsidRDefault="000545FB" w:rsidP="00155C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0"/>
                <w:lang w:val="uk-UA" w:eastAsia="uk-UA"/>
              </w:rPr>
              <w:t>Кількість суб’єктів малого підприємництва, що повинні виконати вимоги регулювання, одиниць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45FB" w:rsidRPr="00155C64" w:rsidRDefault="000545FB" w:rsidP="00C628F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45FB" w:rsidRPr="00155C64" w:rsidRDefault="000545FB" w:rsidP="00C628F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45FB" w:rsidRPr="00155C64" w:rsidRDefault="000545FB" w:rsidP="00C628F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45FB" w:rsidRPr="00155C64" w:rsidRDefault="000545FB" w:rsidP="00C628F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45FB" w:rsidRPr="00155C64" w:rsidRDefault="000545FB" w:rsidP="00C628F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45FB" w:rsidRPr="00155C64" w:rsidRDefault="000545FB" w:rsidP="00C628F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х</w:t>
            </w:r>
          </w:p>
        </w:tc>
      </w:tr>
      <w:tr w:rsidR="005C0B5E" w:rsidRPr="00155C64" w:rsidTr="00C628F6">
        <w:trPr>
          <w:trHeight w:val="1047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0B5E" w:rsidRPr="00155C64" w:rsidRDefault="005C0B5E" w:rsidP="00155C64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0B5E" w:rsidRPr="00155C64" w:rsidRDefault="005C0B5E" w:rsidP="00155C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val="uk-UA" w:eastAsia="uk-UA"/>
              </w:rPr>
            </w:pPr>
            <w:r w:rsidRPr="00155C64">
              <w:rPr>
                <w:rFonts w:ascii="Times New Roman" w:eastAsia="Calibri" w:hAnsi="Times New Roman" w:cs="Times New Roman"/>
                <w:sz w:val="24"/>
                <w:szCs w:val="20"/>
                <w:lang w:val="uk-UA" w:eastAsia="uk-UA"/>
              </w:rPr>
              <w:t xml:space="preserve">Сумарно, гривень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B5E" w:rsidRPr="00155C64" w:rsidRDefault="005C0B5E" w:rsidP="00155C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5C0B5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5452,38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0B5E" w:rsidRPr="00155C64" w:rsidRDefault="005C0B5E" w:rsidP="00C628F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  <w:p w:rsidR="005C0B5E" w:rsidRPr="00155C64" w:rsidRDefault="005C0B5E" w:rsidP="00C628F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2423,28</w:t>
            </w:r>
          </w:p>
          <w:p w:rsidR="005C0B5E" w:rsidRPr="00155C64" w:rsidRDefault="005C0B5E" w:rsidP="00C628F6">
            <w:pPr>
              <w:spacing w:before="100" w:beforeAutospacing="1" w:after="100" w:afterAutospacing="1" w:line="15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0B5E" w:rsidRPr="00155C64" w:rsidRDefault="005C0B5E" w:rsidP="00C628F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  <w:p w:rsidR="005C0B5E" w:rsidRPr="00155C64" w:rsidRDefault="005C0B5E" w:rsidP="00C628F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1817,46</w:t>
            </w:r>
          </w:p>
          <w:p w:rsidR="005C0B5E" w:rsidRPr="00155C64" w:rsidRDefault="005C0B5E" w:rsidP="00C628F6">
            <w:pPr>
              <w:spacing w:before="100" w:beforeAutospacing="1" w:after="100" w:afterAutospacing="1" w:line="15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0B5E" w:rsidRPr="00155C64" w:rsidRDefault="005C0B5E" w:rsidP="00C628F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  <w:p w:rsidR="005C0B5E" w:rsidRPr="00155C64" w:rsidRDefault="005C0B5E" w:rsidP="00C628F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1817,46</w:t>
            </w:r>
          </w:p>
          <w:p w:rsidR="005C0B5E" w:rsidRPr="00155C64" w:rsidRDefault="005C0B5E" w:rsidP="00C628F6">
            <w:pPr>
              <w:spacing w:before="100" w:beforeAutospacing="1" w:after="100" w:afterAutospacing="1" w:line="15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0B5E" w:rsidRPr="00155C64" w:rsidRDefault="005C0B5E" w:rsidP="005C0B5E">
            <w:pPr>
              <w:spacing w:before="100" w:beforeAutospacing="1" w:after="100" w:afterAutospacing="1" w:line="15" w:lineRule="atLeast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  <w:p w:rsidR="005C0B5E" w:rsidRPr="00155C64" w:rsidRDefault="005C0B5E" w:rsidP="00C628F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2120,37</w:t>
            </w:r>
          </w:p>
          <w:p w:rsidR="005C0B5E" w:rsidRPr="00155C64" w:rsidRDefault="005C0B5E" w:rsidP="00C628F6">
            <w:pPr>
              <w:spacing w:before="100" w:beforeAutospacing="1" w:after="100" w:afterAutospacing="1" w:line="15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0B5E" w:rsidRPr="005C0B5E" w:rsidRDefault="005C0B5E" w:rsidP="00155C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5C0B5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13630,95</w:t>
            </w:r>
          </w:p>
        </w:tc>
      </w:tr>
    </w:tbl>
    <w:p w:rsidR="00155C64" w:rsidRDefault="00155C64" w:rsidP="00DB46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442A9" w:rsidRDefault="00B442A9" w:rsidP="00DB46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E300F" w:rsidRPr="00DB469E" w:rsidRDefault="00EE300F" w:rsidP="00B442A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DB469E">
        <w:rPr>
          <w:rFonts w:ascii="Times New Roman" w:hAnsi="Times New Roman" w:cs="Times New Roman"/>
          <w:b/>
          <w:bCs/>
          <w:sz w:val="28"/>
          <w:szCs w:val="28"/>
          <w:lang w:val="uk-UA"/>
        </w:rPr>
        <w:t>Оцінка вартості адміністративних процедур суб’єктів малого підприємництва щодо виконання регулювання та звітування</w:t>
      </w:r>
    </w:p>
    <w:p w:rsidR="00EE300F" w:rsidRPr="00DB469E" w:rsidRDefault="00EE300F" w:rsidP="00C628F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DB469E"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Бюджетні витрати на адміністрування регулювання суб’єктів малого підприємництва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7"/>
        <w:gridCol w:w="1109"/>
        <w:gridCol w:w="1942"/>
        <w:gridCol w:w="1256"/>
        <w:gridCol w:w="1353"/>
        <w:gridCol w:w="1701"/>
      </w:tblGrid>
      <w:tr w:rsidR="00EE300F" w:rsidRPr="00DB469E" w:rsidTr="00C628F6">
        <w:trPr>
          <w:tblCellSpacing w:w="0" w:type="dxa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0F" w:rsidRPr="00CB14E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Процедура регулювання суб’єктів малого підприємництва (розрахунок на одного типового суб’єкта господарювання малого підприємництва – за потреби окремо для суб’єктів малого та </w:t>
            </w:r>
            <w:proofErr w:type="spellStart"/>
            <w:r w:rsidRPr="00CB1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мікро</w:t>
            </w:r>
            <w:proofErr w:type="spellEnd"/>
            <w:r w:rsidRPr="00CB1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- </w:t>
            </w:r>
            <w:proofErr w:type="spellStart"/>
            <w:r w:rsidRPr="00CB1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підприємництв</w:t>
            </w:r>
            <w:proofErr w:type="spellEnd"/>
            <w:r w:rsidRPr="00CB1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)</w:t>
            </w: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0F" w:rsidRPr="00CB14E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Планові витрати часу на процедуру</w:t>
            </w: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0F" w:rsidRPr="00CB14E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Вартість часу співробітника органу державної влади відповідної категорії</w:t>
            </w:r>
            <w:r w:rsidR="00237EC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237EC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грн</w:t>
            </w:r>
            <w:proofErr w:type="spellEnd"/>
            <w:r w:rsidRPr="00CB1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(заробітна плата)</w:t>
            </w: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0F" w:rsidRPr="00CB14E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Оцінка кількості процедур за рік, що припадають на одного суб’єкта</w:t>
            </w: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0F" w:rsidRPr="00CB14E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Оцінка кількості суб’єктів, що підпадають під дію процедури регулювання</w:t>
            </w: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0F" w:rsidRPr="00CB14E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Витрати на адміністрування регулювання (за рік), гривень</w:t>
            </w: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EE300F" w:rsidRPr="00DB469E" w:rsidTr="00C628F6">
        <w:trPr>
          <w:tblCellSpacing w:w="0" w:type="dxa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0F" w:rsidRPr="00CB14E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Облік суб’єкта господарювання, що перебуває у сфері регулювання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0F" w:rsidRPr="00CB14EE" w:rsidRDefault="00CB14EE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</w:t>
            </w:r>
            <w:r w:rsidR="00EE300F"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E300F"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0F" w:rsidRPr="00CB14EE" w:rsidRDefault="00237EC1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36,59</w:t>
            </w:r>
            <w:r w:rsidR="00EE300F"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E300F"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 w:rsidR="00EE300F"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E300F"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(за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</w:t>
            </w:r>
            <w:r w:rsidR="00EE300F"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E300F"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 w:rsidR="00EE300F"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  <w:r w:rsidR="00EE300F"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6440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/22 дні/ 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0F" w:rsidRPr="00CB14EE" w:rsidRDefault="00237EC1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237EC1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237EC1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858,62</w:t>
            </w:r>
          </w:p>
        </w:tc>
      </w:tr>
      <w:tr w:rsidR="00EE300F" w:rsidRPr="00DB469E" w:rsidTr="00C628F6">
        <w:trPr>
          <w:tblCellSpacing w:w="0" w:type="dxa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0F" w:rsidRPr="00CB14E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2.Поточний контроль за суб’єктом господарювання, що перебуває у сфері регулюванням (обстеження місць розміщенням вимог регуляторного акта), у тому числі: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E300F" w:rsidRPr="00DB469E" w:rsidTr="00C628F6">
        <w:trPr>
          <w:tblCellSpacing w:w="0" w:type="dxa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0F" w:rsidRPr="00CB14E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камеральні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EE300F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EE300F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EE300F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EE300F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EE300F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E300F" w:rsidRPr="00DB469E" w:rsidTr="00C628F6">
        <w:trPr>
          <w:tblCellSpacing w:w="0" w:type="dxa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0F" w:rsidRPr="00CB14E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виїздні</w:t>
            </w:r>
            <w:proofErr w:type="spellEnd"/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EE300F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EE300F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EE300F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EE300F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EE300F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E300F" w:rsidRPr="00DB469E" w:rsidTr="00C628F6">
        <w:trPr>
          <w:tblCellSpacing w:w="0" w:type="dxa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0F" w:rsidRPr="00CB14E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3.Підготовка затвердження та опрацювання одного окремого акта про </w:t>
            </w: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порушення вимог регулювання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EE300F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EE300F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EE300F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EE300F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EE300F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E300F" w:rsidRPr="00DB469E" w:rsidTr="00C628F6">
        <w:trPr>
          <w:tblCellSpacing w:w="0" w:type="dxa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0F" w:rsidRPr="00CB14E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4.Реалізація одного окремого рішення щодо порушення вимог регулювання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EE300F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EE300F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EE300F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EE300F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EE300F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E300F" w:rsidRPr="00DB469E" w:rsidTr="00C628F6">
        <w:trPr>
          <w:tblCellSpacing w:w="0" w:type="dxa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0F" w:rsidRPr="00CB14E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5.Оскарження одного окремого рішення суб’єктами господарювання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EE300F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EE300F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EE300F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EE300F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EE300F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E300F" w:rsidRPr="00DB469E" w:rsidTr="00C628F6">
        <w:trPr>
          <w:tblCellSpacing w:w="0" w:type="dxa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0F" w:rsidRPr="00CB14E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6.Підготовка звітності результатами регулювання </w:t>
            </w:r>
          </w:p>
          <w:p w:rsidR="005C0B5E" w:rsidRPr="00CB14EE" w:rsidRDefault="005C0B5E" w:rsidP="00DB4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EE300F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EE300F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EE300F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EE300F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EE300F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E300F" w:rsidRPr="00DB469E" w:rsidTr="00C628F6">
        <w:trPr>
          <w:tblCellSpacing w:w="0" w:type="dxa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0F" w:rsidRPr="00CB14E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7.Інші адміністративні процедури(уточнити): </w:t>
            </w:r>
          </w:p>
          <w:p w:rsidR="005C0B5E" w:rsidRPr="00CB14EE" w:rsidRDefault="005C0B5E" w:rsidP="005C0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відповідного розпорядження голови Херсонської обласної державної адміністрації та дозволу на встановлення зовнішньої реклами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237EC1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день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237EC1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292,73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237EC1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237EC1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237EC1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5269,14</w:t>
            </w:r>
          </w:p>
        </w:tc>
      </w:tr>
      <w:tr w:rsidR="00EE300F" w:rsidRPr="00DB469E" w:rsidTr="00C628F6">
        <w:trPr>
          <w:tblCellSpacing w:w="0" w:type="dxa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0F" w:rsidRPr="00CB14E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Разом за рік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EE300F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EE300F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EE300F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EE300F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237EC1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6127,76</w:t>
            </w:r>
          </w:p>
        </w:tc>
      </w:tr>
      <w:tr w:rsidR="00EE300F" w:rsidRPr="00DB469E" w:rsidTr="00C628F6">
        <w:trPr>
          <w:tblCellSpacing w:w="0" w:type="dxa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0F" w:rsidRPr="00CB14E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Сумарною за п’ять років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C3" w:rsidRPr="00CB14EE" w:rsidRDefault="00237EC1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15319,40</w:t>
            </w:r>
          </w:p>
        </w:tc>
      </w:tr>
      <w:tr w:rsidR="00CB14EE" w:rsidRPr="002A7279" w:rsidTr="00C628F6">
        <w:trPr>
          <w:tblCellSpacing w:w="0" w:type="dxa"/>
        </w:trPr>
        <w:tc>
          <w:tcPr>
            <w:tcW w:w="9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EE" w:rsidRPr="00CB14EE" w:rsidRDefault="00CB14EE" w:rsidP="00CC76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Розрахунок заробітної плати зроблено для державного службовця на посаді головного спеціаліста відділу </w:t>
            </w:r>
            <w:r w:rsidR="00237EC1"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обласної</w:t>
            </w: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державної адміністрації згідно із Схемою</w:t>
            </w: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посадових окладів на посадах державної служби за групами оплати праці з урахуванням юрисдикції державних органів у 2018 році, затвердженою постановою Кабінету Міністрів України від 18 січня 2017 року № 15 (зі змінами). Заробітна плата на місяць становить  </w:t>
            </w:r>
            <w:r w:rsidR="00237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37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6440 </w:t>
            </w:r>
            <w:proofErr w:type="spellStart"/>
            <w:r w:rsidR="00237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 w:rsidRPr="00CB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  <w:r w:rsidR="00CC76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EE300F" w:rsidRPr="00DB469E" w:rsidRDefault="00EE300F" w:rsidP="00DB46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B469E"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</w:p>
    <w:p w:rsidR="00EE300F" w:rsidRPr="00DB469E" w:rsidRDefault="00EE300F" w:rsidP="00DB46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B469E"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</w:p>
    <w:p w:rsidR="00EE300F" w:rsidRPr="00DB469E" w:rsidRDefault="00EE300F" w:rsidP="00DB46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B469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Розрахунок сумарних витрат суб’єктів малого підприємства, що виникають на виконання вимог регулювання </w:t>
      </w:r>
    </w:p>
    <w:tbl>
      <w:tblPr>
        <w:tblpPr w:leftFromText="45" w:rightFromText="45" w:vertAnchor="text"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815"/>
        <w:gridCol w:w="1830"/>
        <w:gridCol w:w="2400"/>
      </w:tblGrid>
      <w:tr w:rsidR="00EE300F" w:rsidRPr="00DB469E" w:rsidTr="00CC7645">
        <w:trPr>
          <w:tblCellSpacing w:w="0" w:type="dxa"/>
        </w:trPr>
        <w:tc>
          <w:tcPr>
            <w:tcW w:w="540" w:type="dxa"/>
            <w:hideMark/>
          </w:tcPr>
          <w:p w:rsidR="00EE300F" w:rsidRPr="00DB469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4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Pr="00DB4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proofErr w:type="spellStart"/>
            <w:r w:rsidRPr="00DB4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</w:t>
            </w:r>
            <w:proofErr w:type="spellEnd"/>
            <w:r w:rsidRPr="00DB4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5" w:type="dxa"/>
            <w:hideMark/>
          </w:tcPr>
          <w:p w:rsidR="00FE62C3" w:rsidRPr="00DB469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4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Показники</w:t>
            </w:r>
          </w:p>
        </w:tc>
        <w:tc>
          <w:tcPr>
            <w:tcW w:w="1830" w:type="dxa"/>
            <w:hideMark/>
          </w:tcPr>
          <w:p w:rsidR="00FE62C3" w:rsidRPr="00DB469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4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 рік регулювання</w:t>
            </w:r>
          </w:p>
        </w:tc>
        <w:tc>
          <w:tcPr>
            <w:tcW w:w="2400" w:type="dxa"/>
            <w:hideMark/>
          </w:tcPr>
          <w:p w:rsidR="00FE62C3" w:rsidRPr="00DB469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4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п’ять років</w:t>
            </w:r>
          </w:p>
        </w:tc>
      </w:tr>
      <w:tr w:rsidR="00EE300F" w:rsidRPr="00DB469E" w:rsidTr="00CC7645">
        <w:trPr>
          <w:trHeight w:val="1006"/>
          <w:tblCellSpacing w:w="0" w:type="dxa"/>
        </w:trPr>
        <w:tc>
          <w:tcPr>
            <w:tcW w:w="540" w:type="dxa"/>
            <w:hideMark/>
          </w:tcPr>
          <w:p w:rsidR="00EE300F" w:rsidRPr="00DB469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46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1.</w:t>
            </w:r>
            <w:r w:rsidRPr="00DB4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5" w:type="dxa"/>
            <w:hideMark/>
          </w:tcPr>
          <w:p w:rsidR="00EE300F" w:rsidRPr="00DB469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4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Оцінки “прямих” витрат суб’єктів малого підприємництва на виконання регулювання </w:t>
            </w:r>
          </w:p>
        </w:tc>
        <w:tc>
          <w:tcPr>
            <w:tcW w:w="1830" w:type="dxa"/>
            <w:hideMark/>
          </w:tcPr>
          <w:p w:rsidR="00EE300F" w:rsidRPr="00DB469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46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 </w:t>
            </w:r>
            <w:r w:rsidRPr="00DB4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00" w:type="dxa"/>
            <w:hideMark/>
          </w:tcPr>
          <w:p w:rsidR="00EE300F" w:rsidRPr="00DB469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46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 </w:t>
            </w:r>
            <w:r w:rsidRPr="00DB4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EE300F" w:rsidRPr="00DB469E" w:rsidTr="00CC7645">
        <w:trPr>
          <w:tblCellSpacing w:w="0" w:type="dxa"/>
        </w:trPr>
        <w:tc>
          <w:tcPr>
            <w:tcW w:w="540" w:type="dxa"/>
            <w:hideMark/>
          </w:tcPr>
          <w:p w:rsidR="00EE300F" w:rsidRPr="00DB469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46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2.</w:t>
            </w:r>
            <w:r w:rsidRPr="00DB4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5" w:type="dxa"/>
            <w:hideMark/>
          </w:tcPr>
          <w:p w:rsidR="00EE300F" w:rsidRPr="00DB469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4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Оцінка вартості адміністративних процедур для суб’єктів малого підприємництва щодо виконання регулювання та звітування </w:t>
            </w:r>
          </w:p>
        </w:tc>
        <w:tc>
          <w:tcPr>
            <w:tcW w:w="1830" w:type="dxa"/>
            <w:hideMark/>
          </w:tcPr>
          <w:p w:rsidR="00EE300F" w:rsidRPr="00237EC1" w:rsidRDefault="00237EC1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E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5452,38</w:t>
            </w:r>
          </w:p>
        </w:tc>
        <w:tc>
          <w:tcPr>
            <w:tcW w:w="2400" w:type="dxa"/>
            <w:hideMark/>
          </w:tcPr>
          <w:p w:rsidR="00EE300F" w:rsidRPr="00237EC1" w:rsidRDefault="00237EC1" w:rsidP="0023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E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13630,95</w:t>
            </w:r>
          </w:p>
        </w:tc>
      </w:tr>
      <w:tr w:rsidR="00B818A0" w:rsidRPr="00DB469E" w:rsidTr="00CC7645">
        <w:trPr>
          <w:tblCellSpacing w:w="0" w:type="dxa"/>
        </w:trPr>
        <w:tc>
          <w:tcPr>
            <w:tcW w:w="540" w:type="dxa"/>
            <w:hideMark/>
          </w:tcPr>
          <w:p w:rsidR="00B818A0" w:rsidRPr="00DB469E" w:rsidRDefault="00B818A0" w:rsidP="00B81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46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3.</w:t>
            </w:r>
            <w:r w:rsidRPr="00DB4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5" w:type="dxa"/>
            <w:hideMark/>
          </w:tcPr>
          <w:p w:rsidR="00B818A0" w:rsidRPr="00DB469E" w:rsidRDefault="00B818A0" w:rsidP="00B81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4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Сумарні витрати малого підприємництва на виконання запланованого регулювання </w:t>
            </w:r>
          </w:p>
        </w:tc>
        <w:tc>
          <w:tcPr>
            <w:tcW w:w="1830" w:type="dxa"/>
            <w:hideMark/>
          </w:tcPr>
          <w:p w:rsidR="00B818A0" w:rsidRPr="00237EC1" w:rsidRDefault="00B818A0" w:rsidP="00B81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E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5452,38</w:t>
            </w:r>
          </w:p>
        </w:tc>
        <w:tc>
          <w:tcPr>
            <w:tcW w:w="2400" w:type="dxa"/>
            <w:hideMark/>
          </w:tcPr>
          <w:p w:rsidR="00B818A0" w:rsidRPr="00237EC1" w:rsidRDefault="00B818A0" w:rsidP="00B81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E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13630,95</w:t>
            </w:r>
          </w:p>
        </w:tc>
      </w:tr>
      <w:tr w:rsidR="00EE300F" w:rsidRPr="00DB469E" w:rsidTr="00CC7645">
        <w:trPr>
          <w:tblCellSpacing w:w="0" w:type="dxa"/>
        </w:trPr>
        <w:tc>
          <w:tcPr>
            <w:tcW w:w="540" w:type="dxa"/>
            <w:hideMark/>
          </w:tcPr>
          <w:p w:rsidR="00EE300F" w:rsidRPr="00DB469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46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4.</w:t>
            </w:r>
            <w:r w:rsidRPr="00DB4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5" w:type="dxa"/>
            <w:hideMark/>
          </w:tcPr>
          <w:p w:rsidR="00EE300F" w:rsidRPr="00DB469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4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Бюджетні витрати на адміністрування регулювання суб’єктів малого підприємництва </w:t>
            </w:r>
          </w:p>
        </w:tc>
        <w:tc>
          <w:tcPr>
            <w:tcW w:w="1830" w:type="dxa"/>
            <w:hideMark/>
          </w:tcPr>
          <w:p w:rsidR="00EE300F" w:rsidRPr="00DB469E" w:rsidRDefault="00B818A0" w:rsidP="00B81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8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6127,76</w:t>
            </w:r>
          </w:p>
        </w:tc>
        <w:tc>
          <w:tcPr>
            <w:tcW w:w="2400" w:type="dxa"/>
            <w:hideMark/>
          </w:tcPr>
          <w:p w:rsidR="00EE300F" w:rsidRPr="00DB469E" w:rsidRDefault="00B818A0" w:rsidP="00B81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8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15319,40</w:t>
            </w:r>
          </w:p>
        </w:tc>
      </w:tr>
      <w:tr w:rsidR="00EE300F" w:rsidRPr="00DB469E" w:rsidTr="00CC7645">
        <w:trPr>
          <w:tblCellSpacing w:w="0" w:type="dxa"/>
        </w:trPr>
        <w:tc>
          <w:tcPr>
            <w:tcW w:w="540" w:type="dxa"/>
            <w:hideMark/>
          </w:tcPr>
          <w:p w:rsidR="00EE300F" w:rsidRPr="00DB469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46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5.</w:t>
            </w:r>
            <w:r w:rsidRPr="00DB4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5" w:type="dxa"/>
            <w:hideMark/>
          </w:tcPr>
          <w:p w:rsidR="00EE300F" w:rsidRPr="00DB469E" w:rsidRDefault="00EE300F" w:rsidP="00DB46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4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Сумарні витрати на виконання запланованого регулювання </w:t>
            </w:r>
          </w:p>
        </w:tc>
        <w:tc>
          <w:tcPr>
            <w:tcW w:w="1830" w:type="dxa"/>
            <w:hideMark/>
          </w:tcPr>
          <w:p w:rsidR="00EE300F" w:rsidRPr="00DB469E" w:rsidRDefault="00B818A0" w:rsidP="00B81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11580,14</w:t>
            </w:r>
          </w:p>
        </w:tc>
        <w:tc>
          <w:tcPr>
            <w:tcW w:w="2400" w:type="dxa"/>
            <w:hideMark/>
          </w:tcPr>
          <w:p w:rsidR="00EE300F" w:rsidRPr="00DB469E" w:rsidRDefault="00B818A0" w:rsidP="00B81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28949,4</w:t>
            </w:r>
          </w:p>
        </w:tc>
      </w:tr>
    </w:tbl>
    <w:p w:rsidR="00EE300F" w:rsidRPr="00DB469E" w:rsidRDefault="00EE300F" w:rsidP="00DB46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B469E"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</w:p>
    <w:p w:rsidR="00EE300F" w:rsidRPr="00DB469E" w:rsidRDefault="00EE300F" w:rsidP="00DB46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B469E"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</w:p>
    <w:p w:rsidR="00EE300F" w:rsidRPr="00DB469E" w:rsidRDefault="00EE300F" w:rsidP="00DB46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B469E">
        <w:rPr>
          <w:rFonts w:ascii="Times New Roman" w:hAnsi="Times New Roman" w:cs="Times New Roman"/>
          <w:b/>
          <w:bCs/>
          <w:sz w:val="28"/>
          <w:szCs w:val="28"/>
          <w:lang w:val="uk-UA"/>
        </w:rPr>
        <w:t>5. Розроблення коригуючи (пом’якшувальних) заходів для малого підприємництва щодо запропонованого регулювання</w:t>
      </w:r>
    </w:p>
    <w:p w:rsidR="00EE300F" w:rsidRPr="00DB469E" w:rsidRDefault="00EE300F" w:rsidP="00DB46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B469E">
        <w:rPr>
          <w:rFonts w:ascii="Times New Roman" w:hAnsi="Times New Roman" w:cs="Times New Roman"/>
          <w:b/>
          <w:bCs/>
          <w:sz w:val="28"/>
          <w:szCs w:val="28"/>
          <w:lang w:val="uk-UA"/>
        </w:rPr>
        <w:t>         </w:t>
      </w:r>
    </w:p>
    <w:p w:rsidR="00EE300F" w:rsidRPr="00DB469E" w:rsidRDefault="00B818A0" w:rsidP="00B818A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 w:rsidR="00EE300F" w:rsidRPr="00DB469E">
        <w:rPr>
          <w:rFonts w:ascii="Times New Roman" w:hAnsi="Times New Roman" w:cs="Times New Roman"/>
          <w:sz w:val="28"/>
          <w:szCs w:val="28"/>
          <w:lang w:val="uk-UA"/>
        </w:rPr>
        <w:t xml:space="preserve">Суб’єкти малого підприємництва в рамках виконання вимог розробленого регуляторного акту нестимуть незначні часові витрати на консультації з </w:t>
      </w:r>
      <w:r>
        <w:rPr>
          <w:rFonts w:ascii="Times New Roman" w:hAnsi="Times New Roman" w:cs="Times New Roman"/>
          <w:sz w:val="28"/>
          <w:szCs w:val="28"/>
          <w:lang w:val="uk-UA"/>
        </w:rPr>
        <w:t>Херсонською</w:t>
      </w:r>
      <w:r w:rsidR="00EE300F" w:rsidRPr="00DB469E">
        <w:rPr>
          <w:rFonts w:ascii="Times New Roman" w:hAnsi="Times New Roman" w:cs="Times New Roman"/>
          <w:sz w:val="28"/>
          <w:szCs w:val="28"/>
          <w:lang w:val="uk-UA"/>
        </w:rPr>
        <w:t xml:space="preserve"> обл</w:t>
      </w:r>
      <w:r>
        <w:rPr>
          <w:rFonts w:ascii="Times New Roman" w:hAnsi="Times New Roman" w:cs="Times New Roman"/>
          <w:sz w:val="28"/>
          <w:szCs w:val="28"/>
          <w:lang w:val="uk-UA"/>
        </w:rPr>
        <w:t>асною державною адміністрацією</w:t>
      </w:r>
      <w:r w:rsidR="00EE300F" w:rsidRPr="00DB469E">
        <w:rPr>
          <w:rFonts w:ascii="Times New Roman" w:hAnsi="Times New Roman" w:cs="Times New Roman"/>
          <w:sz w:val="28"/>
          <w:szCs w:val="28"/>
          <w:lang w:val="uk-UA"/>
        </w:rPr>
        <w:t xml:space="preserve"> по вимогах регулювання та на підготовку заяви на видачу дозволів на розміщення </w:t>
      </w:r>
      <w:proofErr w:type="spellStart"/>
      <w:r w:rsidR="00EE300F" w:rsidRPr="00DB469E">
        <w:rPr>
          <w:rFonts w:ascii="Times New Roman" w:hAnsi="Times New Roman" w:cs="Times New Roman"/>
          <w:sz w:val="28"/>
          <w:szCs w:val="28"/>
          <w:lang w:val="uk-UA"/>
        </w:rPr>
        <w:t>рекламоносіїв</w:t>
      </w:r>
      <w:proofErr w:type="spellEnd"/>
      <w:r w:rsidR="00EE300F" w:rsidRPr="00DB46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E300F" w:rsidRPr="00DB469E" w:rsidRDefault="00EE300F" w:rsidP="00B818A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69E">
        <w:rPr>
          <w:rFonts w:ascii="Times New Roman" w:hAnsi="Times New Roman" w:cs="Times New Roman"/>
          <w:sz w:val="28"/>
          <w:szCs w:val="28"/>
          <w:lang w:val="uk-UA"/>
        </w:rPr>
        <w:t>Витрати на оплату послуг з видачі дозволів суб’єкти малого підприємництва відсутні, оскільки дозволи видаватимуться безкоштовно.</w:t>
      </w:r>
    </w:p>
    <w:p w:rsidR="00EE300F" w:rsidRDefault="00EE300F" w:rsidP="00B818A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69E">
        <w:rPr>
          <w:rFonts w:ascii="Times New Roman" w:hAnsi="Times New Roman" w:cs="Times New Roman"/>
          <w:sz w:val="28"/>
          <w:szCs w:val="28"/>
          <w:lang w:val="uk-UA"/>
        </w:rPr>
        <w:t xml:space="preserve">Звільнити суб’єкти малого підприємництва від регулювання неможливо, оскільки це буде суперечити діючому законодавству, зокрема Закону України </w:t>
      </w:r>
      <w:proofErr w:type="spellStart"/>
      <w:r w:rsidRPr="00DB469E">
        <w:rPr>
          <w:rFonts w:ascii="Times New Roman" w:hAnsi="Times New Roman" w:cs="Times New Roman"/>
          <w:sz w:val="28"/>
          <w:szCs w:val="28"/>
          <w:lang w:val="uk-UA"/>
        </w:rPr>
        <w:t>‟Про</w:t>
      </w:r>
      <w:proofErr w:type="spellEnd"/>
      <w:r w:rsidRPr="00DB469E">
        <w:rPr>
          <w:rFonts w:ascii="Times New Roman" w:hAnsi="Times New Roman" w:cs="Times New Roman"/>
          <w:sz w:val="28"/>
          <w:szCs w:val="28"/>
          <w:lang w:val="uk-UA"/>
        </w:rPr>
        <w:t xml:space="preserve"> рекламу”.</w:t>
      </w:r>
    </w:p>
    <w:p w:rsidR="00B818A0" w:rsidRDefault="00B818A0" w:rsidP="00B81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18A0" w:rsidRPr="00DB469E" w:rsidRDefault="00B818A0" w:rsidP="00B81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300F" w:rsidRDefault="00B818A0" w:rsidP="00DB46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</w:p>
    <w:p w:rsidR="00B818A0" w:rsidRDefault="00B818A0" w:rsidP="00DB46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транспорту та зв’язку</w:t>
      </w:r>
    </w:p>
    <w:p w:rsidR="00B818A0" w:rsidRDefault="00B818A0" w:rsidP="00DB46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Херсонської обласної державної</w:t>
      </w:r>
    </w:p>
    <w:p w:rsidR="00B818A0" w:rsidRPr="00DB469E" w:rsidRDefault="00B818A0" w:rsidP="00DB4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Соценко</w:t>
      </w:r>
      <w:proofErr w:type="spellEnd"/>
    </w:p>
    <w:sectPr w:rsidR="00B818A0" w:rsidRPr="00DB469E" w:rsidSect="00C628F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E33" w:rsidRDefault="005B2E33" w:rsidP="000545FB">
      <w:pPr>
        <w:spacing w:after="0" w:line="240" w:lineRule="auto"/>
      </w:pPr>
      <w:r>
        <w:separator/>
      </w:r>
    </w:p>
  </w:endnote>
  <w:endnote w:type="continuationSeparator" w:id="0">
    <w:p w:rsidR="005B2E33" w:rsidRDefault="005B2E33" w:rsidP="00054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E33" w:rsidRDefault="005B2E33" w:rsidP="000545FB">
      <w:pPr>
        <w:spacing w:after="0" w:line="240" w:lineRule="auto"/>
      </w:pPr>
      <w:r>
        <w:separator/>
      </w:r>
    </w:p>
  </w:footnote>
  <w:footnote w:type="continuationSeparator" w:id="0">
    <w:p w:rsidR="005B2E33" w:rsidRDefault="005B2E33" w:rsidP="00054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1091591"/>
      <w:docPartObj>
        <w:docPartGallery w:val="Page Numbers (Top of Page)"/>
        <w:docPartUnique/>
      </w:docPartObj>
    </w:sdtPr>
    <w:sdtContent>
      <w:p w:rsidR="005B2E33" w:rsidRDefault="005B2E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B2E33" w:rsidRDefault="005B2E3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A507D"/>
    <w:multiLevelType w:val="multilevel"/>
    <w:tmpl w:val="2FC4F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9C0DD0"/>
    <w:multiLevelType w:val="hybridMultilevel"/>
    <w:tmpl w:val="BC602974"/>
    <w:lvl w:ilvl="0" w:tplc="D15A14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4A57CD"/>
    <w:multiLevelType w:val="multilevel"/>
    <w:tmpl w:val="30C8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00F"/>
    <w:rsid w:val="000545FB"/>
    <w:rsid w:val="00155C64"/>
    <w:rsid w:val="00237EC1"/>
    <w:rsid w:val="002A7279"/>
    <w:rsid w:val="00302E60"/>
    <w:rsid w:val="00321B7B"/>
    <w:rsid w:val="0046405F"/>
    <w:rsid w:val="004C66E9"/>
    <w:rsid w:val="005906A3"/>
    <w:rsid w:val="005B2E33"/>
    <w:rsid w:val="005C0B5E"/>
    <w:rsid w:val="0075171A"/>
    <w:rsid w:val="007B3BC5"/>
    <w:rsid w:val="00900DB9"/>
    <w:rsid w:val="00974EED"/>
    <w:rsid w:val="009C2A9E"/>
    <w:rsid w:val="00AB6A1A"/>
    <w:rsid w:val="00B00FA9"/>
    <w:rsid w:val="00B442A9"/>
    <w:rsid w:val="00B818A0"/>
    <w:rsid w:val="00C628F6"/>
    <w:rsid w:val="00CB14EE"/>
    <w:rsid w:val="00CC7645"/>
    <w:rsid w:val="00D24341"/>
    <w:rsid w:val="00DB469E"/>
    <w:rsid w:val="00E44F00"/>
    <w:rsid w:val="00EE300F"/>
    <w:rsid w:val="00FE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00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B3BC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54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45FB"/>
  </w:style>
  <w:style w:type="paragraph" w:styleId="a7">
    <w:name w:val="footer"/>
    <w:basedOn w:val="a"/>
    <w:link w:val="a8"/>
    <w:uiPriority w:val="99"/>
    <w:unhideWhenUsed/>
    <w:rsid w:val="00054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45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00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B3BC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54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45FB"/>
  </w:style>
  <w:style w:type="paragraph" w:styleId="a7">
    <w:name w:val="footer"/>
    <w:basedOn w:val="a"/>
    <w:link w:val="a8"/>
    <w:uiPriority w:val="99"/>
    <w:unhideWhenUsed/>
    <w:rsid w:val="00054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4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3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3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26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71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7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19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92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60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37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70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20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DBD58-7A2D-41CA-A34F-D16BF4A81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3744</Words>
  <Characters>21341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Bogun</dc:creator>
  <cp:lastModifiedBy>Bogun</cp:lastModifiedBy>
  <cp:revision>2</cp:revision>
  <cp:lastPrinted>2018-08-20T06:46:00Z</cp:lastPrinted>
  <dcterms:created xsi:type="dcterms:W3CDTF">2018-08-20T10:53:00Z</dcterms:created>
  <dcterms:modified xsi:type="dcterms:W3CDTF">2018-08-20T10:53:00Z</dcterms:modified>
</cp:coreProperties>
</file>